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54"/>
        <w:spacing w:line="580" w:lineRule="exact"/>
        <w:ind w:firstLine="960" w:firstLineChars="200"/>
        <w:jc w:val="both"/>
        <w:outlineLvl w:val="9"/>
        <w:rPr>
          <w:rFonts w:ascii="Times New Roman" w:hAnsi="Times New Roman"/>
          <w:color w:val="auto"/>
          <w:sz w:val="48"/>
          <w:szCs w:val="48"/>
        </w:rPr>
      </w:pPr>
      <w:bookmarkStart w:id="0" w:name="_Toc366597257"/>
      <w:bookmarkStart w:id="91" w:name="_GoBack"/>
      <w:bookmarkEnd w:id="91"/>
    </w:p>
    <w:p>
      <w:pPr>
        <w:pStyle w:val="54"/>
        <w:spacing w:line="580" w:lineRule="exact"/>
        <w:ind w:firstLine="960" w:firstLineChars="200"/>
        <w:jc w:val="right"/>
        <w:outlineLvl w:val="9"/>
        <w:rPr>
          <w:rFonts w:ascii="Times New Roman" w:hAnsi="Times New Roman"/>
          <w:color w:val="auto"/>
          <w:sz w:val="48"/>
          <w:szCs w:val="48"/>
        </w:rPr>
      </w:pPr>
    </w:p>
    <w:p>
      <w:pPr>
        <w:pStyle w:val="54"/>
        <w:spacing w:line="580" w:lineRule="exact"/>
        <w:ind w:firstLine="1120" w:firstLineChars="200"/>
        <w:jc w:val="both"/>
        <w:outlineLvl w:val="9"/>
        <w:rPr>
          <w:rFonts w:ascii="Times New Roman" w:hAnsi="Times New Roman"/>
          <w:color w:val="auto"/>
          <w:sz w:val="56"/>
          <w:szCs w:val="56"/>
        </w:rPr>
      </w:pPr>
    </w:p>
    <w:p>
      <w:pPr>
        <w:pStyle w:val="54"/>
        <w:outlineLvl w:val="9"/>
        <w:rPr>
          <w:rFonts w:hint="eastAsia" w:ascii="方正小标宋简体" w:hAnsi="方正小标宋简体" w:eastAsia="方正小标宋简体" w:cs="方正小标宋简体"/>
          <w:color w:val="auto"/>
          <w:sz w:val="64"/>
          <w:szCs w:val="64"/>
        </w:rPr>
      </w:pPr>
      <w:bookmarkStart w:id="1" w:name="_Toc107236068"/>
      <w:bookmarkStart w:id="2" w:name="_Toc107229700"/>
      <w:bookmarkStart w:id="3" w:name="_Toc107236112"/>
      <w:bookmarkStart w:id="4" w:name="_Toc1980010015"/>
      <w:bookmarkStart w:id="5" w:name="_Toc2031389471"/>
      <w:r>
        <w:rPr>
          <w:rFonts w:hint="eastAsia" w:ascii="方正小标宋简体" w:hAnsi="方正小标宋简体" w:eastAsia="方正小标宋简体" w:cs="方正小标宋简体"/>
          <w:color w:val="auto"/>
          <w:sz w:val="64"/>
          <w:szCs w:val="64"/>
        </w:rPr>
        <w:t>威海经济技术开发区</w:t>
      </w:r>
      <w:bookmarkEnd w:id="1"/>
      <w:bookmarkEnd w:id="2"/>
      <w:bookmarkEnd w:id="3"/>
    </w:p>
    <w:p>
      <w:pPr>
        <w:pStyle w:val="54"/>
        <w:outlineLvl w:val="9"/>
        <w:rPr>
          <w:rFonts w:ascii="Times New Roman" w:hAnsi="Times New Roman"/>
          <w:color w:val="auto"/>
          <w:sz w:val="80"/>
          <w:szCs w:val="80"/>
        </w:rPr>
      </w:pPr>
      <w:bookmarkStart w:id="6" w:name="_Toc107229701"/>
      <w:bookmarkStart w:id="7" w:name="_Toc107236113"/>
      <w:bookmarkStart w:id="8" w:name="_Toc107236069"/>
      <w:r>
        <w:rPr>
          <w:rFonts w:hint="eastAsia" w:ascii="方正小标宋简体" w:hAnsi="方正小标宋简体" w:eastAsia="方正小标宋简体" w:cs="方正小标宋简体"/>
          <w:color w:val="auto"/>
          <w:sz w:val="80"/>
          <w:szCs w:val="80"/>
        </w:rPr>
        <w:t>辐射事故应急预案</w:t>
      </w:r>
      <w:bookmarkEnd w:id="0"/>
      <w:bookmarkEnd w:id="4"/>
      <w:bookmarkEnd w:id="5"/>
      <w:bookmarkEnd w:id="6"/>
      <w:bookmarkEnd w:id="7"/>
      <w:bookmarkEnd w:id="8"/>
    </w:p>
    <w:p>
      <w:pPr>
        <w:keepNext w:val="0"/>
        <w:keepLines w:val="0"/>
        <w:pageBreakBefore w:val="0"/>
        <w:widowControl w:val="0"/>
        <w:kinsoku/>
        <w:wordWrap/>
        <w:overflowPunct/>
        <w:topLinePunct w:val="0"/>
        <w:autoSpaceDE/>
        <w:autoSpaceDN/>
        <w:bidi w:val="0"/>
        <w:adjustRightInd w:val="0"/>
        <w:snapToGrid/>
        <w:spacing w:line="576" w:lineRule="exact"/>
        <w:jc w:val="center"/>
        <w:textAlignment w:val="auto"/>
        <w:rPr>
          <w:rFonts w:eastAsia="楷体_GB2312" w:cs="楷体_GB2312"/>
          <w:bCs/>
          <w:sz w:val="32"/>
          <w:szCs w:val="32"/>
        </w:rPr>
      </w:pPr>
    </w:p>
    <w:p>
      <w:pPr>
        <w:keepNext w:val="0"/>
        <w:keepLines w:val="0"/>
        <w:pageBreakBefore w:val="0"/>
        <w:widowControl w:val="0"/>
        <w:kinsoku/>
        <w:wordWrap/>
        <w:overflowPunct/>
        <w:topLinePunct w:val="0"/>
        <w:autoSpaceDE/>
        <w:autoSpaceDN/>
        <w:bidi w:val="0"/>
        <w:adjustRightInd w:val="0"/>
        <w:snapToGrid/>
        <w:spacing w:line="576" w:lineRule="exact"/>
        <w:ind w:firstLine="640" w:firstLineChars="200"/>
        <w:textAlignment w:val="auto"/>
        <w:rPr>
          <w:bCs/>
          <w:sz w:val="32"/>
          <w:szCs w:val="32"/>
        </w:rPr>
      </w:pPr>
    </w:p>
    <w:p>
      <w:pPr>
        <w:keepNext w:val="0"/>
        <w:keepLines w:val="0"/>
        <w:pageBreakBefore w:val="0"/>
        <w:widowControl w:val="0"/>
        <w:kinsoku/>
        <w:wordWrap/>
        <w:overflowPunct/>
        <w:topLinePunct w:val="0"/>
        <w:autoSpaceDE/>
        <w:autoSpaceDN/>
        <w:bidi w:val="0"/>
        <w:adjustRightInd w:val="0"/>
        <w:snapToGrid/>
        <w:spacing w:line="576" w:lineRule="exact"/>
        <w:ind w:firstLine="640" w:firstLineChars="200"/>
        <w:textAlignment w:val="auto"/>
        <w:rPr>
          <w:bCs/>
          <w:sz w:val="32"/>
          <w:szCs w:val="32"/>
        </w:rPr>
      </w:pPr>
    </w:p>
    <w:p>
      <w:pPr>
        <w:keepNext w:val="0"/>
        <w:keepLines w:val="0"/>
        <w:pageBreakBefore w:val="0"/>
        <w:widowControl w:val="0"/>
        <w:kinsoku/>
        <w:wordWrap/>
        <w:overflowPunct/>
        <w:topLinePunct w:val="0"/>
        <w:autoSpaceDE/>
        <w:autoSpaceDN/>
        <w:bidi w:val="0"/>
        <w:adjustRightInd w:val="0"/>
        <w:snapToGrid/>
        <w:spacing w:line="576" w:lineRule="exact"/>
        <w:ind w:firstLine="640" w:firstLineChars="200"/>
        <w:textAlignment w:val="auto"/>
        <w:rPr>
          <w:bCs/>
          <w:sz w:val="32"/>
          <w:szCs w:val="32"/>
        </w:rPr>
      </w:pPr>
    </w:p>
    <w:p>
      <w:pPr>
        <w:keepNext w:val="0"/>
        <w:keepLines w:val="0"/>
        <w:pageBreakBefore w:val="0"/>
        <w:widowControl w:val="0"/>
        <w:kinsoku/>
        <w:wordWrap/>
        <w:overflowPunct/>
        <w:topLinePunct w:val="0"/>
        <w:autoSpaceDE/>
        <w:autoSpaceDN/>
        <w:bidi w:val="0"/>
        <w:adjustRightInd w:val="0"/>
        <w:snapToGrid/>
        <w:spacing w:line="576" w:lineRule="exact"/>
        <w:ind w:firstLine="640" w:firstLineChars="200"/>
        <w:textAlignment w:val="auto"/>
        <w:rPr>
          <w:bCs/>
          <w:sz w:val="32"/>
          <w:szCs w:val="32"/>
        </w:rPr>
      </w:pPr>
    </w:p>
    <w:p>
      <w:pPr>
        <w:keepNext w:val="0"/>
        <w:keepLines w:val="0"/>
        <w:pageBreakBefore w:val="0"/>
        <w:widowControl w:val="0"/>
        <w:kinsoku/>
        <w:wordWrap/>
        <w:overflowPunct/>
        <w:topLinePunct w:val="0"/>
        <w:autoSpaceDE/>
        <w:autoSpaceDN/>
        <w:bidi w:val="0"/>
        <w:adjustRightInd w:val="0"/>
        <w:snapToGrid/>
        <w:spacing w:line="576" w:lineRule="exact"/>
        <w:ind w:firstLine="640" w:firstLineChars="200"/>
        <w:textAlignment w:val="auto"/>
        <w:rPr>
          <w:bCs/>
          <w:sz w:val="32"/>
          <w:szCs w:val="32"/>
        </w:rPr>
      </w:pPr>
    </w:p>
    <w:p>
      <w:pPr>
        <w:keepNext w:val="0"/>
        <w:keepLines w:val="0"/>
        <w:pageBreakBefore w:val="0"/>
        <w:widowControl w:val="0"/>
        <w:kinsoku/>
        <w:wordWrap/>
        <w:overflowPunct/>
        <w:topLinePunct w:val="0"/>
        <w:autoSpaceDE/>
        <w:autoSpaceDN/>
        <w:bidi w:val="0"/>
        <w:adjustRightInd w:val="0"/>
        <w:snapToGrid/>
        <w:spacing w:line="576" w:lineRule="exact"/>
        <w:ind w:firstLine="640" w:firstLineChars="200"/>
        <w:textAlignment w:val="auto"/>
        <w:rPr>
          <w:bCs/>
          <w:sz w:val="32"/>
          <w:szCs w:val="32"/>
        </w:rPr>
      </w:pPr>
    </w:p>
    <w:p>
      <w:pPr>
        <w:keepNext w:val="0"/>
        <w:keepLines w:val="0"/>
        <w:pageBreakBefore w:val="0"/>
        <w:widowControl w:val="0"/>
        <w:kinsoku/>
        <w:wordWrap/>
        <w:overflowPunct/>
        <w:topLinePunct w:val="0"/>
        <w:autoSpaceDE/>
        <w:autoSpaceDN/>
        <w:bidi w:val="0"/>
        <w:adjustRightInd w:val="0"/>
        <w:snapToGrid/>
        <w:spacing w:line="576" w:lineRule="exact"/>
        <w:ind w:firstLine="640" w:firstLineChars="200"/>
        <w:textAlignment w:val="auto"/>
        <w:rPr>
          <w:bCs/>
          <w:sz w:val="32"/>
          <w:szCs w:val="32"/>
        </w:rPr>
      </w:pPr>
    </w:p>
    <w:p>
      <w:pPr>
        <w:keepNext w:val="0"/>
        <w:keepLines w:val="0"/>
        <w:pageBreakBefore w:val="0"/>
        <w:widowControl w:val="0"/>
        <w:kinsoku/>
        <w:wordWrap/>
        <w:overflowPunct/>
        <w:topLinePunct w:val="0"/>
        <w:autoSpaceDE/>
        <w:autoSpaceDN/>
        <w:bidi w:val="0"/>
        <w:adjustRightInd w:val="0"/>
        <w:snapToGrid/>
        <w:spacing w:line="576" w:lineRule="exact"/>
        <w:textAlignment w:val="auto"/>
        <w:rPr>
          <w:bCs/>
          <w:sz w:val="32"/>
          <w:szCs w:val="32"/>
        </w:rPr>
      </w:pPr>
    </w:p>
    <w:p>
      <w:pPr>
        <w:keepNext w:val="0"/>
        <w:keepLines w:val="0"/>
        <w:pageBreakBefore w:val="0"/>
        <w:widowControl w:val="0"/>
        <w:kinsoku/>
        <w:wordWrap/>
        <w:overflowPunct/>
        <w:topLinePunct w:val="0"/>
        <w:autoSpaceDE/>
        <w:autoSpaceDN/>
        <w:bidi w:val="0"/>
        <w:adjustRightInd w:val="0"/>
        <w:snapToGrid/>
        <w:spacing w:line="576" w:lineRule="exact"/>
        <w:textAlignment w:val="auto"/>
        <w:rPr>
          <w:bCs/>
          <w:sz w:val="32"/>
          <w:szCs w:val="32"/>
        </w:rPr>
      </w:pPr>
    </w:p>
    <w:p>
      <w:pPr>
        <w:keepNext w:val="0"/>
        <w:keepLines w:val="0"/>
        <w:pageBreakBefore w:val="0"/>
        <w:widowControl w:val="0"/>
        <w:kinsoku/>
        <w:wordWrap/>
        <w:overflowPunct/>
        <w:topLinePunct w:val="0"/>
        <w:autoSpaceDE/>
        <w:autoSpaceDN/>
        <w:bidi w:val="0"/>
        <w:adjustRightInd w:val="0"/>
        <w:snapToGrid/>
        <w:spacing w:line="576" w:lineRule="exact"/>
        <w:jc w:val="center"/>
        <w:textAlignment w:val="auto"/>
        <w:rPr>
          <w:rFonts w:hint="eastAsia" w:ascii="黑体" w:hAnsi="黑体" w:eastAsia="黑体" w:cs="黑体"/>
          <w:bCs/>
          <w:sz w:val="32"/>
          <w:szCs w:val="32"/>
          <w:lang w:val="en"/>
        </w:rPr>
      </w:pPr>
    </w:p>
    <w:p>
      <w:pPr>
        <w:keepNext w:val="0"/>
        <w:keepLines w:val="0"/>
        <w:pageBreakBefore w:val="0"/>
        <w:widowControl w:val="0"/>
        <w:kinsoku/>
        <w:wordWrap/>
        <w:overflowPunct/>
        <w:topLinePunct w:val="0"/>
        <w:autoSpaceDE/>
        <w:autoSpaceDN/>
        <w:bidi w:val="0"/>
        <w:adjustRightInd w:val="0"/>
        <w:snapToGrid/>
        <w:spacing w:line="576" w:lineRule="exact"/>
        <w:jc w:val="center"/>
        <w:textAlignment w:val="auto"/>
        <w:rPr>
          <w:rFonts w:hint="default" w:ascii="Times New Roman" w:hAnsi="Times New Roman" w:eastAsia="黑体" w:cs="Times New Roman"/>
          <w:bCs/>
          <w:sz w:val="32"/>
          <w:szCs w:val="32"/>
          <w:lang w:val="en-US" w:eastAsia="zh-CN"/>
        </w:rPr>
      </w:pPr>
      <w:r>
        <w:rPr>
          <w:rFonts w:hint="default" w:ascii="Times New Roman" w:hAnsi="Times New Roman" w:eastAsia="黑体" w:cs="Times New Roman"/>
          <w:bCs/>
          <w:sz w:val="32"/>
          <w:szCs w:val="32"/>
          <w:lang w:val="en"/>
        </w:rPr>
        <w:t>2022</w:t>
      </w:r>
      <w:r>
        <w:rPr>
          <w:rFonts w:hint="default" w:ascii="Times New Roman" w:hAnsi="Times New Roman" w:eastAsia="黑体" w:cs="Times New Roman"/>
          <w:bCs/>
          <w:sz w:val="32"/>
          <w:szCs w:val="32"/>
          <w:lang w:val="en" w:eastAsia="zh-CN"/>
        </w:rPr>
        <w:t>年</w:t>
      </w:r>
      <w:r>
        <w:rPr>
          <w:rFonts w:hint="default" w:ascii="Times New Roman" w:hAnsi="Times New Roman" w:eastAsia="黑体" w:cs="Times New Roman"/>
          <w:bCs/>
          <w:sz w:val="32"/>
          <w:szCs w:val="32"/>
          <w:lang w:val="en-US" w:eastAsia="zh-CN"/>
        </w:rPr>
        <w:t>8月</w:t>
      </w:r>
    </w:p>
    <w:p>
      <w:pPr>
        <w:keepNext w:val="0"/>
        <w:keepLines w:val="0"/>
        <w:pageBreakBefore w:val="0"/>
        <w:widowControl w:val="0"/>
        <w:kinsoku/>
        <w:wordWrap/>
        <w:overflowPunct/>
        <w:topLinePunct w:val="0"/>
        <w:autoSpaceDE/>
        <w:autoSpaceDN/>
        <w:bidi w:val="0"/>
        <w:snapToGrid/>
        <w:spacing w:line="576" w:lineRule="exact"/>
        <w:jc w:val="center"/>
        <w:textAlignment w:val="auto"/>
        <w:rPr>
          <w:rFonts w:hint="eastAsia" w:ascii="方正小标宋简体" w:hAnsi="方正小标宋简体" w:eastAsia="方正小标宋简体" w:cs="方正小标宋简体"/>
          <w:sz w:val="44"/>
          <w:szCs w:val="44"/>
        </w:rPr>
      </w:pPr>
    </w:p>
    <w:p>
      <w:pPr>
        <w:pStyle w:val="2"/>
        <w:keepNext w:val="0"/>
        <w:keepLines w:val="0"/>
        <w:pageBreakBefore w:val="0"/>
        <w:widowControl w:val="0"/>
        <w:kinsoku/>
        <w:wordWrap/>
        <w:overflowPunct/>
        <w:topLinePunct w:val="0"/>
        <w:autoSpaceDE/>
        <w:autoSpaceDN/>
        <w:bidi w:val="0"/>
        <w:snapToGrid/>
        <w:spacing w:line="576" w:lineRule="exact"/>
        <w:textAlignment w:val="auto"/>
        <w:rPr>
          <w:rFonts w:hint="eastAsia"/>
        </w:rPr>
      </w:pPr>
    </w:p>
    <w:p>
      <w:pPr>
        <w:jc w:val="center"/>
        <w:rPr>
          <w:rFonts w:hint="eastAsia" w:ascii="黑体" w:hAnsi="黑体" w:eastAsia="黑体" w:cs="黑体"/>
          <w:sz w:val="32"/>
          <w:szCs w:val="32"/>
        </w:rPr>
      </w:pPr>
    </w:p>
    <w:p>
      <w:pPr>
        <w:jc w:val="center"/>
        <w:rPr>
          <w:rFonts w:hint="eastAsia" w:ascii="黑体" w:hAnsi="黑体" w:eastAsia="黑体" w:cs="黑体"/>
          <w:sz w:val="32"/>
          <w:szCs w:val="32"/>
        </w:rPr>
        <w:sectPr>
          <w:footerReference r:id="rId3" w:type="default"/>
          <w:pgSz w:w="11906" w:h="16838"/>
          <w:pgMar w:top="2154" w:right="1474" w:bottom="1984" w:left="1587" w:header="851" w:footer="992" w:gutter="0"/>
          <w:pgNumType w:fmt="decimal" w:start="1"/>
          <w:cols w:space="720" w:num="1"/>
          <w:docGrid w:type="lines" w:linePitch="312" w:charSpace="0"/>
        </w:sectPr>
      </w:pPr>
    </w:p>
    <w:p>
      <w:pPr>
        <w:pStyle w:val="2"/>
        <w:rPr>
          <w:rFonts w:hint="eastAsia"/>
        </w:rPr>
      </w:pPr>
    </w:p>
    <w:p>
      <w:pPr>
        <w:jc w:val="center"/>
        <w:rPr>
          <w:rFonts w:hint="eastAsia" w:ascii="黑体" w:hAnsi="黑体" w:eastAsia="黑体" w:cs="黑体"/>
          <w:sz w:val="32"/>
          <w:szCs w:val="32"/>
        </w:rPr>
      </w:pPr>
      <w:r>
        <w:rPr>
          <w:rFonts w:hint="eastAsia" w:ascii="黑体" w:hAnsi="黑体" w:eastAsia="黑体" w:cs="黑体"/>
          <w:sz w:val="32"/>
          <w:szCs w:val="32"/>
        </w:rPr>
        <w:t>目</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录</w:t>
      </w:r>
    </w:p>
    <w:p>
      <w:pPr>
        <w:pStyle w:val="16"/>
        <w:keepNext w:val="0"/>
        <w:keepLines w:val="0"/>
        <w:pageBreakBefore w:val="0"/>
        <w:widowControl w:val="0"/>
        <w:tabs>
          <w:tab w:val="right" w:leader="dot" w:pos="8835"/>
        </w:tabs>
        <w:kinsoku/>
        <w:wordWrap/>
        <w:overflowPunct/>
        <w:topLinePunct w:val="0"/>
        <w:autoSpaceDE/>
        <w:autoSpaceDN/>
        <w:bidi w:val="0"/>
        <w:adjustRightInd/>
        <w:snapToGrid/>
        <w:spacing w:after="0" w:afterAutospacing="0" w:line="300" w:lineRule="atLeast"/>
        <w:textAlignment w:val="auto"/>
        <w:rPr>
          <w:rFonts w:ascii="宋体" w:hAnsi="宋体" w:eastAsia="宋体" w:cs="Times New Roman"/>
          <w:bCs w:val="0"/>
          <w:caps w:val="0"/>
          <w:sz w:val="28"/>
          <w:szCs w:val="28"/>
        </w:rPr>
      </w:pPr>
      <w:r>
        <w:rPr>
          <w:rFonts w:hint="eastAsia" w:ascii="宋体" w:hAnsi="宋体" w:eastAsia="宋体" w:cs="仿宋_GB2312"/>
          <w:caps w:val="0"/>
          <w:sz w:val="28"/>
          <w:szCs w:val="28"/>
        </w:rPr>
        <w:fldChar w:fldCharType="begin"/>
      </w:r>
      <w:r>
        <w:rPr>
          <w:rFonts w:hint="eastAsia" w:ascii="宋体" w:hAnsi="宋体" w:eastAsia="宋体" w:cs="仿宋_GB2312"/>
          <w:caps w:val="0"/>
          <w:sz w:val="28"/>
          <w:szCs w:val="28"/>
        </w:rPr>
        <w:instrText xml:space="preserve">TOC \o "1-3" \h \u </w:instrText>
      </w:r>
      <w:r>
        <w:rPr>
          <w:rFonts w:hint="eastAsia" w:ascii="宋体" w:hAnsi="宋体" w:eastAsia="宋体" w:cs="仿宋_GB2312"/>
          <w:caps w:val="0"/>
          <w:sz w:val="28"/>
          <w:szCs w:val="28"/>
        </w:rPr>
        <w:fldChar w:fldCharType="separate"/>
      </w:r>
    </w:p>
    <w:p>
      <w:pPr>
        <w:pStyle w:val="16"/>
        <w:tabs>
          <w:tab w:val="right" w:leader="dot" w:pos="8835"/>
        </w:tabs>
        <w:spacing w:after="0" w:afterAutospacing="0" w:line="240" w:lineRule="atLeast"/>
        <w:rPr>
          <w:rFonts w:hint="default" w:ascii="Times New Roman" w:hAnsi="Times New Roman" w:eastAsia="仿宋_GB2312" w:cs="Times New Roman"/>
          <w:bCs w:val="0"/>
          <w:caps w:val="0"/>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"_Toc107236114"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1</w:t>
      </w:r>
      <w:r>
        <w:rPr>
          <w:rStyle w:val="30"/>
          <w:rFonts w:hint="eastAsia" w:ascii="黑体" w:hAnsi="黑体" w:eastAsia="黑体" w:cs="黑体"/>
          <w:sz w:val="32"/>
          <w:szCs w:val="32"/>
        </w:rPr>
        <w:t>总则</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_Toc107236114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"_Toc107236115"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1.1编制目的</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_Toc107236115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"_Toc107236116"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1.2编制依据</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_Toc107236116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"_Toc107236117"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1.3适用范围</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_Toc107236117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"_Toc107236118"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1.4应急原则</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_Toc107236118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"_Toc107236119"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1.5风险评估</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_Toc107236119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6"/>
        <w:tabs>
          <w:tab w:val="right" w:leader="dot" w:pos="8835"/>
        </w:tabs>
        <w:spacing w:after="0" w:afterAutospacing="0" w:line="240" w:lineRule="atLeast"/>
        <w:rPr>
          <w:rFonts w:hint="default" w:ascii="Times New Roman" w:hAnsi="Times New Roman" w:eastAsia="仿宋_GB2312" w:cs="Times New Roman"/>
          <w:bCs w:val="0"/>
          <w:caps w:val="0"/>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"_Toc107236120"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2</w:t>
      </w:r>
      <w:r>
        <w:rPr>
          <w:rStyle w:val="30"/>
          <w:rFonts w:hint="default" w:ascii="黑体" w:hAnsi="黑体" w:eastAsia="黑体" w:cs="黑体"/>
          <w:strike w:val="0"/>
          <w:dstrike w:val="0"/>
          <w:sz w:val="32"/>
          <w:szCs w:val="32"/>
        </w:rPr>
        <w:t>辐射事故分级</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_Toc107236120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6"/>
        <w:tabs>
          <w:tab w:val="right" w:leader="dot" w:pos="8835"/>
        </w:tabs>
        <w:spacing w:after="0" w:afterAutospacing="0" w:line="240" w:lineRule="atLeast"/>
        <w:rPr>
          <w:rFonts w:hint="default" w:ascii="Times New Roman" w:hAnsi="Times New Roman" w:eastAsia="仿宋_GB2312" w:cs="Times New Roman"/>
          <w:bCs w:val="0"/>
          <w:caps w:val="0"/>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"_Toc107236121"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3</w:t>
      </w:r>
      <w:r>
        <w:rPr>
          <w:rStyle w:val="30"/>
          <w:rFonts w:hint="default" w:ascii="黑体" w:hAnsi="黑体" w:eastAsia="黑体" w:cs="黑体"/>
          <w:strike w:val="0"/>
          <w:dstrike w:val="0"/>
          <w:sz w:val="32"/>
          <w:szCs w:val="32"/>
        </w:rPr>
        <w:t>组织机构与职责</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_Toc107236121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5</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"_Toc107236122"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3.1区辐射事故应急指挥部</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_Toc107236122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5</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"_Toc107236123"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3.2区辐射事故应急指挥办公室</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_Toc107236123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7</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"_Toc107236124"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3.3区辐射事故现场指挥部</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_Toc107236124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7</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6"/>
        <w:tabs>
          <w:tab w:val="right" w:leader="dot" w:pos="8835"/>
        </w:tabs>
        <w:spacing w:after="0" w:afterAutospacing="0" w:line="240" w:lineRule="atLeast"/>
        <w:rPr>
          <w:rFonts w:hint="default" w:ascii="Times New Roman" w:hAnsi="Times New Roman" w:eastAsia="仿宋_GB2312" w:cs="Times New Roman"/>
          <w:bCs w:val="0"/>
          <w:caps w:val="0"/>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"_Toc107236125"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4</w:t>
      </w:r>
      <w:r>
        <w:rPr>
          <w:rStyle w:val="30"/>
          <w:rFonts w:hint="default" w:ascii="黑体" w:hAnsi="黑体" w:eastAsia="黑体" w:cs="黑体"/>
          <w:strike w:val="0"/>
          <w:dstrike w:val="0"/>
          <w:sz w:val="32"/>
          <w:szCs w:val="32"/>
        </w:rPr>
        <w:t>监控预警</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_Toc107236125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8</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"_Toc107236126"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bCs/>
          <w:sz w:val="32"/>
          <w:szCs w:val="32"/>
        </w:rPr>
        <w:t>4.1信息监控</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_Toc107236126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9</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"_Toc107236127"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bCs/>
          <w:sz w:val="32"/>
          <w:szCs w:val="32"/>
        </w:rPr>
        <w:t>4.2预防工作</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_Toc107236127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9</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"_Toc107236128"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bCs/>
          <w:sz w:val="32"/>
          <w:szCs w:val="32"/>
        </w:rPr>
        <w:t>4.3预警工作</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_Toc107236128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9</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6"/>
        <w:tabs>
          <w:tab w:val="right" w:leader="dot" w:pos="8835"/>
        </w:tabs>
        <w:spacing w:after="0" w:afterAutospacing="0" w:line="240" w:lineRule="atLeast"/>
        <w:rPr>
          <w:rFonts w:hint="default" w:ascii="Times New Roman" w:hAnsi="Times New Roman" w:eastAsia="仿宋_GB2312" w:cs="Times New Roman"/>
          <w:bCs w:val="0"/>
          <w:caps w:val="0"/>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"_Toc107236129"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w:t>
      </w:r>
      <w:r>
        <w:rPr>
          <w:rStyle w:val="30"/>
          <w:rFonts w:hint="default" w:ascii="黑体" w:hAnsi="黑体" w:eastAsia="黑体" w:cs="黑体"/>
          <w:strike w:val="0"/>
          <w:dstrike w:val="0"/>
          <w:sz w:val="32"/>
          <w:szCs w:val="32"/>
        </w:rPr>
        <w:t>应急响应</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_Toc107236129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10</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"_Toc107236130"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5.1先期处置</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_Toc107236130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10</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ind w:left="0" w:leftChars="0" w:firstLine="640" w:firstLineChars="200"/>
        <w:rPr>
          <w:rFonts w:hint="default" w:ascii="Times New Roman" w:hAnsi="Times New Roman" w:eastAsia="仿宋_GB2312" w:cs="Times New Roman"/>
          <w:sz w:val="32"/>
          <w:szCs w:val="32"/>
        </w:rPr>
        <w:sectPr>
          <w:footerReference r:id="rId4" w:type="default"/>
          <w:pgSz w:w="11906" w:h="16838"/>
          <w:pgMar w:top="2154" w:right="1474" w:bottom="1984" w:left="1587" w:header="851" w:footer="992" w:gutter="0"/>
          <w:pgNumType w:fmt="decimal" w:start="1"/>
          <w:cols w:space="720" w:num="1"/>
          <w:docGrid w:type="lines" w:linePitch="312" w:charSpace="0"/>
        </w:sectPr>
      </w:pPr>
    </w:p>
    <w:p>
      <w:pPr>
        <w:pStyle w:val="19"/>
        <w:tabs>
          <w:tab w:val="right" w:leader="dot" w:pos="8835"/>
        </w:tabs>
        <w:spacing w:line="240" w:lineRule="atLeas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"_Toc107236131"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5.2应急响应</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_Toc107236131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11</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"_Toc107236132"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5.3信息报告</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_Toc107236132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11</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"_Toc107236133"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5.4指挥与协调</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_Toc107236133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13</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"_Toc107236134"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5.5现场应急处置</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_Toc107236134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14</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"_Toc107236135"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5.6辐射应急监测</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_Toc107236135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15</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"_Toc107236136"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5.7信息发布和舆论引导</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_Toc107236136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15</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"_Toc107236137"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5.8安全防护</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_Toc107236137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16</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"_Toc107236138"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5.9应急终止</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_Toc107236138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16</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"_Toc107236139"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5.10总结报告</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_Toc107236139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17</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"_Toc107236140"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5.11后续处置</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_Toc107236140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17</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"_Toc107236141"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5.12信息发布与舆情管理</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_Toc107236141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17</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6"/>
        <w:tabs>
          <w:tab w:val="right" w:leader="dot" w:pos="8835"/>
        </w:tabs>
        <w:spacing w:after="0" w:afterAutospacing="0" w:line="240" w:lineRule="atLeast"/>
        <w:rPr>
          <w:rFonts w:hint="default" w:ascii="Times New Roman" w:hAnsi="Times New Roman" w:eastAsia="仿宋_GB2312" w:cs="Times New Roman"/>
          <w:bCs w:val="0"/>
          <w:caps w:val="0"/>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"_Toc107236142"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6</w:t>
      </w:r>
      <w:r>
        <w:rPr>
          <w:rStyle w:val="30"/>
          <w:rFonts w:hint="default" w:ascii="黑体" w:hAnsi="黑体" w:eastAsia="黑体" w:cs="黑体"/>
          <w:strike w:val="0"/>
          <w:dstrike w:val="0"/>
          <w:sz w:val="32"/>
          <w:szCs w:val="32"/>
        </w:rPr>
        <w:t>应急保障</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_Toc107236142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18</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"_Toc107236143"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6.1队伍保障</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_Toc107236143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18</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"_Toc107236144"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6.2装备保障</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_Toc107236144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18</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"_Toc107236145"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6.3共享资料保障</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_Toc107236145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19</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"_Toc107236146"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6.4制度保障</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_Toc107236146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19</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"_Toc107236147"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6.5经费保障</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_Toc107236147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19</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6"/>
        <w:tabs>
          <w:tab w:val="right" w:leader="dot" w:pos="8835"/>
        </w:tabs>
        <w:spacing w:after="0" w:afterAutospacing="0" w:line="240" w:lineRule="atLeast"/>
        <w:rPr>
          <w:rFonts w:hint="default" w:ascii="Times New Roman" w:hAnsi="Times New Roman" w:eastAsia="仿宋_GB2312" w:cs="Times New Roman"/>
          <w:bCs w:val="0"/>
          <w:caps w:val="0"/>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"_Toc107236148"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7</w:t>
      </w:r>
      <w:r>
        <w:rPr>
          <w:rStyle w:val="30"/>
          <w:rFonts w:hint="default" w:ascii="黑体" w:hAnsi="黑体" w:eastAsia="黑体" w:cs="黑体"/>
          <w:strike w:val="0"/>
          <w:dstrike w:val="0"/>
          <w:sz w:val="32"/>
          <w:szCs w:val="32"/>
        </w:rPr>
        <w:t>应急能力维持</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_Toc107236148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19</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"_Toc107236149"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7.1应急预案</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_Toc107236149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19</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"_Toc107236150"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7.2培训</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_Toc107236150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sz w:val="32"/>
          <w:szCs w:val="32"/>
        </w:rPr>
        <w:sectPr>
          <w:footerReference r:id="rId5" w:type="default"/>
          <w:pgSz w:w="11906" w:h="16838"/>
          <w:pgMar w:top="2154" w:right="1474" w:bottom="1984" w:left="1587" w:header="851" w:footer="992" w:gutter="0"/>
          <w:pgNumType w:fmt="decimal" w:start="1"/>
          <w:cols w:space="720" w:num="1"/>
          <w:docGrid w:type="lines" w:linePitch="312" w:charSpace="0"/>
        </w:sectPr>
      </w:pPr>
    </w:p>
    <w:p>
      <w:pPr>
        <w:pStyle w:val="19"/>
        <w:tabs>
          <w:tab w:val="right" w:leader="dot" w:pos="8835"/>
        </w:tabs>
        <w:spacing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"_Toc107236151"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7.3演练</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_Toc107236151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6"/>
        <w:tabs>
          <w:tab w:val="right" w:leader="dot" w:pos="8835"/>
        </w:tabs>
        <w:spacing w:after="0" w:afterAutospacing="0" w:line="240" w:lineRule="atLeas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"_Toc107236152" </w:instrText>
      </w:r>
      <w:r>
        <w:rPr>
          <w:rFonts w:hint="default" w:ascii="Times New Roman" w:hAnsi="Times New Roman" w:eastAsia="仿宋_GB2312" w:cs="Times New Roman"/>
          <w:sz w:val="32"/>
          <w:szCs w:val="32"/>
        </w:rPr>
        <w:fldChar w:fldCharType="separate"/>
      </w:r>
      <w:r>
        <w:rPr>
          <w:rStyle w:val="30"/>
          <w:rFonts w:hint="eastAsia" w:ascii="Times New Roman" w:hAnsi="Times New Roman" w:cs="Times New Roman"/>
          <w:sz w:val="32"/>
          <w:szCs w:val="32"/>
          <w:lang w:val="en-US" w:eastAsia="zh-CN"/>
        </w:rPr>
        <w:t>8</w:t>
      </w:r>
      <w:r>
        <w:rPr>
          <w:rStyle w:val="30"/>
          <w:rFonts w:hint="default" w:ascii="黑体" w:hAnsi="黑体" w:eastAsia="黑体" w:cs="黑体"/>
          <w:strike w:val="0"/>
          <w:dstrike w:val="0"/>
          <w:sz w:val="32"/>
          <w:szCs w:val="32"/>
        </w:rPr>
        <w:t>附则</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_Toc107236152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9"/>
        <w:tabs>
          <w:tab w:val="right" w:leader="dot" w:pos="8835"/>
        </w:tabs>
        <w:spacing w:line="240" w:lineRule="atLeast"/>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fldChar w:fldCharType="begin"/>
      </w:r>
      <w:r>
        <w:rPr>
          <w:rFonts w:hint="default" w:ascii="Times New Roman" w:hAnsi="Times New Roman" w:eastAsia="仿宋_GB2312" w:cs="Times New Roman"/>
          <w:b w:val="0"/>
          <w:bCs w:val="0"/>
          <w:color w:val="auto"/>
          <w:sz w:val="32"/>
          <w:szCs w:val="32"/>
        </w:rPr>
        <w:instrText xml:space="preserve"> HYPERLINK \l "_Toc107236150" </w:instrText>
      </w:r>
      <w:r>
        <w:rPr>
          <w:rFonts w:hint="default" w:ascii="Times New Roman" w:hAnsi="Times New Roman" w:eastAsia="仿宋_GB2312" w:cs="Times New Roman"/>
          <w:b w:val="0"/>
          <w:bCs w:val="0"/>
          <w:color w:val="auto"/>
          <w:sz w:val="32"/>
          <w:szCs w:val="32"/>
        </w:rPr>
        <w:fldChar w:fldCharType="separate"/>
      </w:r>
      <w:r>
        <w:rPr>
          <w:rStyle w:val="30"/>
          <w:rFonts w:hint="eastAsia" w:ascii="Times New Roman" w:hAnsi="Times New Roman" w:cs="Times New Roman"/>
          <w:b w:val="0"/>
          <w:bCs w:val="0"/>
          <w:color w:val="auto"/>
          <w:sz w:val="32"/>
          <w:szCs w:val="32"/>
          <w:lang w:val="en-US" w:eastAsia="zh-CN"/>
        </w:rPr>
        <w:t>8</w:t>
      </w:r>
      <w:r>
        <w:rPr>
          <w:rStyle w:val="30"/>
          <w:rFonts w:hint="default" w:ascii="Times New Roman" w:hAnsi="Times New Roman" w:eastAsia="仿宋_GB2312" w:cs="Times New Roman"/>
          <w:b w:val="0"/>
          <w:bCs w:val="0"/>
          <w:color w:val="auto"/>
          <w:sz w:val="32"/>
          <w:szCs w:val="32"/>
        </w:rPr>
        <w:t>.</w:t>
      </w:r>
      <w:r>
        <w:rPr>
          <w:rStyle w:val="30"/>
          <w:rFonts w:hint="eastAsia" w:ascii="Times New Roman" w:hAnsi="Times New Roman" w:cs="Times New Roman"/>
          <w:b w:val="0"/>
          <w:bCs w:val="0"/>
          <w:color w:val="auto"/>
          <w:sz w:val="32"/>
          <w:szCs w:val="32"/>
          <w:lang w:val="en-US" w:eastAsia="zh-CN"/>
        </w:rPr>
        <w:t>1</w:t>
      </w:r>
      <w:r>
        <w:rPr>
          <w:rStyle w:val="30"/>
          <w:rFonts w:hint="eastAsia" w:ascii="Times New Roman" w:hAnsi="Times New Roman" w:cs="Times New Roman"/>
          <w:b w:val="0"/>
          <w:bCs w:val="0"/>
          <w:color w:val="auto"/>
          <w:sz w:val="32"/>
          <w:szCs w:val="32"/>
          <w:lang w:eastAsia="zh-CN"/>
        </w:rPr>
        <w:t>预案实施时间</w:t>
      </w:r>
      <w:r>
        <w:rPr>
          <w:rFonts w:hint="default" w:ascii="Times New Roman" w:hAnsi="Times New Roman" w:eastAsia="仿宋_GB2312" w:cs="Times New Roman"/>
          <w:b w:val="0"/>
          <w:bCs w:val="0"/>
          <w:color w:val="auto"/>
          <w:sz w:val="32"/>
          <w:szCs w:val="32"/>
        </w:rPr>
        <w:tab/>
      </w:r>
      <w:r>
        <w:rPr>
          <w:rFonts w:hint="default" w:ascii="Times New Roman" w:hAnsi="Times New Roman" w:eastAsia="仿宋_GB2312" w:cs="Times New Roman"/>
          <w:b w:val="0"/>
          <w:bCs w:val="0"/>
          <w:color w:val="auto"/>
          <w:sz w:val="32"/>
          <w:szCs w:val="32"/>
        </w:rPr>
        <w:fldChar w:fldCharType="begin"/>
      </w:r>
      <w:r>
        <w:rPr>
          <w:rFonts w:hint="default" w:ascii="Times New Roman" w:hAnsi="Times New Roman" w:eastAsia="仿宋_GB2312" w:cs="Times New Roman"/>
          <w:b w:val="0"/>
          <w:bCs w:val="0"/>
          <w:color w:val="auto"/>
          <w:sz w:val="32"/>
          <w:szCs w:val="32"/>
        </w:rPr>
        <w:instrText xml:space="preserve"> PAGEREF _Toc107236150 \h </w:instrText>
      </w:r>
      <w:r>
        <w:rPr>
          <w:rFonts w:hint="default" w:ascii="Times New Roman" w:hAnsi="Times New Roman" w:eastAsia="仿宋_GB2312" w:cs="Times New Roman"/>
          <w:b w:val="0"/>
          <w:bCs w:val="0"/>
          <w:color w:val="auto"/>
          <w:sz w:val="32"/>
          <w:szCs w:val="32"/>
        </w:rPr>
        <w:fldChar w:fldCharType="separate"/>
      </w:r>
      <w:r>
        <w:rPr>
          <w:rFonts w:hint="default" w:ascii="Times New Roman" w:hAnsi="Times New Roman" w:eastAsia="仿宋_GB2312" w:cs="Times New Roman"/>
          <w:b w:val="0"/>
          <w:bCs w:val="0"/>
          <w:color w:val="auto"/>
          <w:sz w:val="32"/>
          <w:szCs w:val="32"/>
        </w:rPr>
        <w:t>20</w:t>
      </w:r>
      <w:r>
        <w:rPr>
          <w:rFonts w:hint="default" w:ascii="Times New Roman" w:hAnsi="Times New Roman" w:eastAsia="仿宋_GB2312" w:cs="Times New Roman"/>
          <w:b w:val="0"/>
          <w:bCs w:val="0"/>
          <w:color w:val="auto"/>
          <w:sz w:val="32"/>
          <w:szCs w:val="32"/>
        </w:rPr>
        <w:fldChar w:fldCharType="end"/>
      </w:r>
      <w:r>
        <w:rPr>
          <w:rFonts w:hint="default" w:ascii="Times New Roman" w:hAnsi="Times New Roman" w:eastAsia="仿宋_GB2312" w:cs="Times New Roman"/>
          <w:b w:val="0"/>
          <w:bCs w:val="0"/>
          <w:color w:val="auto"/>
          <w:sz w:val="32"/>
          <w:szCs w:val="32"/>
        </w:rPr>
        <w:fldChar w:fldCharType="end"/>
      </w:r>
    </w:p>
    <w:p>
      <w:pPr>
        <w:pStyle w:val="19"/>
        <w:tabs>
          <w:tab w:val="right" w:leader="dot" w:pos="8835"/>
        </w:tabs>
        <w:spacing w:line="240" w:lineRule="atLeast"/>
        <w:rPr>
          <w:rFonts w:hint="default"/>
          <w:color w:val="auto"/>
        </w:rPr>
      </w:pPr>
      <w:r>
        <w:rPr>
          <w:rFonts w:hint="default" w:ascii="Times New Roman" w:hAnsi="Times New Roman" w:eastAsia="仿宋_GB2312" w:cs="Times New Roman"/>
          <w:b w:val="0"/>
          <w:bCs w:val="0"/>
          <w:color w:val="auto"/>
          <w:sz w:val="32"/>
          <w:szCs w:val="32"/>
        </w:rPr>
        <w:fldChar w:fldCharType="begin"/>
      </w:r>
      <w:r>
        <w:rPr>
          <w:rFonts w:hint="default" w:ascii="Times New Roman" w:hAnsi="Times New Roman" w:eastAsia="仿宋_GB2312" w:cs="Times New Roman"/>
          <w:b w:val="0"/>
          <w:bCs w:val="0"/>
          <w:color w:val="auto"/>
          <w:sz w:val="32"/>
          <w:szCs w:val="32"/>
        </w:rPr>
        <w:instrText xml:space="preserve"> HYPERLINK \l "_Toc107236150" </w:instrText>
      </w:r>
      <w:r>
        <w:rPr>
          <w:rFonts w:hint="default" w:ascii="Times New Roman" w:hAnsi="Times New Roman" w:eastAsia="仿宋_GB2312" w:cs="Times New Roman"/>
          <w:b w:val="0"/>
          <w:bCs w:val="0"/>
          <w:color w:val="auto"/>
          <w:sz w:val="32"/>
          <w:szCs w:val="32"/>
        </w:rPr>
        <w:fldChar w:fldCharType="separate"/>
      </w:r>
      <w:r>
        <w:rPr>
          <w:rStyle w:val="30"/>
          <w:rFonts w:hint="eastAsia" w:ascii="Times New Roman" w:hAnsi="Times New Roman" w:cs="Times New Roman"/>
          <w:b w:val="0"/>
          <w:bCs w:val="0"/>
          <w:color w:val="auto"/>
          <w:sz w:val="32"/>
          <w:szCs w:val="32"/>
          <w:lang w:val="en-US" w:eastAsia="zh-CN"/>
        </w:rPr>
        <w:t>8</w:t>
      </w:r>
      <w:r>
        <w:rPr>
          <w:rStyle w:val="30"/>
          <w:rFonts w:hint="default" w:ascii="Times New Roman" w:hAnsi="Times New Roman" w:eastAsia="仿宋_GB2312" w:cs="Times New Roman"/>
          <w:b w:val="0"/>
          <w:bCs w:val="0"/>
          <w:color w:val="auto"/>
          <w:sz w:val="32"/>
          <w:szCs w:val="32"/>
        </w:rPr>
        <w:t>.</w:t>
      </w:r>
      <w:r>
        <w:rPr>
          <w:rStyle w:val="30"/>
          <w:rFonts w:hint="eastAsia" w:ascii="Times New Roman" w:hAnsi="Times New Roman" w:cs="Times New Roman"/>
          <w:b w:val="0"/>
          <w:bCs w:val="0"/>
          <w:color w:val="auto"/>
          <w:sz w:val="32"/>
          <w:szCs w:val="32"/>
          <w:lang w:val="en-US" w:eastAsia="zh-CN"/>
        </w:rPr>
        <w:t>2</w:t>
      </w:r>
      <w:r>
        <w:rPr>
          <w:rStyle w:val="30"/>
          <w:rFonts w:hint="eastAsia" w:ascii="Times New Roman" w:hAnsi="Times New Roman" w:cs="Times New Roman"/>
          <w:b w:val="0"/>
          <w:bCs w:val="0"/>
          <w:color w:val="auto"/>
          <w:sz w:val="32"/>
          <w:szCs w:val="32"/>
          <w:lang w:eastAsia="zh-CN"/>
        </w:rPr>
        <w:t>本预案中下列用语的含义</w:t>
      </w:r>
      <w:r>
        <w:rPr>
          <w:rFonts w:hint="default" w:ascii="Times New Roman" w:hAnsi="Times New Roman" w:eastAsia="仿宋_GB2312" w:cs="Times New Roman"/>
          <w:b w:val="0"/>
          <w:bCs w:val="0"/>
          <w:color w:val="auto"/>
          <w:sz w:val="32"/>
          <w:szCs w:val="32"/>
        </w:rPr>
        <w:tab/>
      </w:r>
      <w:r>
        <w:rPr>
          <w:rFonts w:hint="default" w:ascii="Times New Roman" w:hAnsi="Times New Roman" w:eastAsia="仿宋_GB2312" w:cs="Times New Roman"/>
          <w:b w:val="0"/>
          <w:bCs w:val="0"/>
          <w:color w:val="auto"/>
          <w:sz w:val="32"/>
          <w:szCs w:val="32"/>
        </w:rPr>
        <w:fldChar w:fldCharType="begin"/>
      </w:r>
      <w:r>
        <w:rPr>
          <w:rFonts w:hint="default" w:ascii="Times New Roman" w:hAnsi="Times New Roman" w:eastAsia="仿宋_GB2312" w:cs="Times New Roman"/>
          <w:b w:val="0"/>
          <w:bCs w:val="0"/>
          <w:color w:val="auto"/>
          <w:sz w:val="32"/>
          <w:szCs w:val="32"/>
        </w:rPr>
        <w:instrText xml:space="preserve"> PAGEREF _Toc107236150 \h </w:instrText>
      </w:r>
      <w:r>
        <w:rPr>
          <w:rFonts w:hint="default" w:ascii="Times New Roman" w:hAnsi="Times New Roman" w:eastAsia="仿宋_GB2312" w:cs="Times New Roman"/>
          <w:b w:val="0"/>
          <w:bCs w:val="0"/>
          <w:color w:val="auto"/>
          <w:sz w:val="32"/>
          <w:szCs w:val="32"/>
        </w:rPr>
        <w:fldChar w:fldCharType="separate"/>
      </w:r>
      <w:r>
        <w:rPr>
          <w:rFonts w:hint="default" w:ascii="Times New Roman" w:hAnsi="Times New Roman" w:eastAsia="仿宋_GB2312" w:cs="Times New Roman"/>
          <w:b w:val="0"/>
          <w:bCs w:val="0"/>
          <w:color w:val="auto"/>
          <w:sz w:val="32"/>
          <w:szCs w:val="32"/>
        </w:rPr>
        <w:t>20</w:t>
      </w:r>
      <w:r>
        <w:rPr>
          <w:rFonts w:hint="default" w:ascii="Times New Roman" w:hAnsi="Times New Roman" w:eastAsia="仿宋_GB2312" w:cs="Times New Roman"/>
          <w:b w:val="0"/>
          <w:bCs w:val="0"/>
          <w:color w:val="auto"/>
          <w:sz w:val="32"/>
          <w:szCs w:val="32"/>
        </w:rPr>
        <w:fldChar w:fldCharType="end"/>
      </w:r>
      <w:r>
        <w:rPr>
          <w:rFonts w:hint="default" w:ascii="Times New Roman" w:hAnsi="Times New Roman" w:eastAsia="仿宋_GB2312" w:cs="Times New Roman"/>
          <w:b w:val="0"/>
          <w:bCs w:val="0"/>
          <w:color w:val="auto"/>
          <w:sz w:val="32"/>
          <w:szCs w:val="32"/>
        </w:rPr>
        <w:fldChar w:fldCharType="end"/>
      </w:r>
    </w:p>
    <w:p>
      <w:pPr>
        <w:pStyle w:val="16"/>
        <w:tabs>
          <w:tab w:val="right" w:leader="dot" w:pos="8835"/>
        </w:tabs>
        <w:spacing w:after="0" w:afterAutospacing="0" w:line="240" w:lineRule="atLeast"/>
        <w:ind w:firstLine="640" w:firstLineChars="200"/>
        <w:rPr>
          <w:rFonts w:hint="default" w:ascii="Times New Roman" w:hAnsi="Times New Roman" w:eastAsia="仿宋_GB2312" w:cs="Times New Roman"/>
          <w:bCs w:val="0"/>
          <w:caps w:val="0"/>
          <w:sz w:val="32"/>
          <w:szCs w:val="32"/>
        </w:rPr>
      </w:pPr>
      <w:r>
        <w:rPr>
          <w:rFonts w:hint="default" w:ascii="Times New Roman" w:hAnsi="Times New Roman" w:eastAsia="仿宋_GB2312" w:cs="Times New Roman"/>
          <w:color w:val="auto"/>
          <w:sz w:val="32"/>
          <w:szCs w:val="32"/>
        </w:rPr>
        <w:fldChar w:fldCharType="begin"/>
      </w:r>
      <w:r>
        <w:rPr>
          <w:rFonts w:hint="default" w:ascii="Times New Roman" w:hAnsi="Times New Roman" w:eastAsia="仿宋_GB2312" w:cs="Times New Roman"/>
          <w:color w:val="auto"/>
          <w:sz w:val="32"/>
          <w:szCs w:val="32"/>
        </w:rPr>
        <w:instrText xml:space="preserve"> HYPERLINK \l "_Toc107236153" </w:instrText>
      </w:r>
      <w:r>
        <w:rPr>
          <w:rFonts w:hint="default" w:ascii="Times New Roman" w:hAnsi="Times New Roman" w:eastAsia="仿宋_GB2312" w:cs="Times New Roman"/>
          <w:color w:val="auto"/>
          <w:sz w:val="32"/>
          <w:szCs w:val="32"/>
        </w:rPr>
        <w:fldChar w:fldCharType="separate"/>
      </w:r>
      <w:r>
        <w:rPr>
          <w:rStyle w:val="30"/>
          <w:rFonts w:hint="default" w:ascii="Times New Roman" w:hAnsi="Times New Roman" w:eastAsia="仿宋_GB2312" w:cs="Times New Roman"/>
          <w:color w:val="auto"/>
          <w:sz w:val="32"/>
          <w:szCs w:val="32"/>
        </w:rPr>
        <w:t>附件1 辐射事故量化指标</w:t>
      </w:r>
      <w:r>
        <w:rPr>
          <w:rFonts w:hint="default" w:ascii="Times New Roman" w:hAnsi="Times New Roman" w:eastAsia="仿宋_GB2312" w:cs="Times New Roman"/>
          <w:color w:val="auto"/>
          <w:sz w:val="32"/>
          <w:szCs w:val="32"/>
        </w:rPr>
        <w:tab/>
      </w:r>
      <w:r>
        <w:rPr>
          <w:rFonts w:hint="default" w:ascii="Times New Roman" w:hAnsi="Times New Roman" w:eastAsia="仿宋_GB2312" w:cs="Times New Roman"/>
          <w:color w:val="auto"/>
          <w:sz w:val="32"/>
          <w:szCs w:val="32"/>
        </w:rPr>
        <w:fldChar w:fldCharType="begin"/>
      </w:r>
      <w:r>
        <w:rPr>
          <w:rFonts w:hint="default" w:ascii="Times New Roman" w:hAnsi="Times New Roman" w:eastAsia="仿宋_GB2312" w:cs="Times New Roman"/>
          <w:color w:val="auto"/>
          <w:sz w:val="32"/>
          <w:szCs w:val="32"/>
        </w:rPr>
        <w:instrText xml:space="preserve"> PAGEREF _Toc107236153 \h </w:instrText>
      </w:r>
      <w:r>
        <w:rPr>
          <w:rFonts w:hint="default" w:ascii="Times New Roman" w:hAnsi="Times New Roman" w:eastAsia="仿宋_GB2312" w:cs="Times New Roman"/>
          <w:color w:val="auto"/>
          <w:sz w:val="32"/>
          <w:szCs w:val="32"/>
        </w:rPr>
        <w:fldChar w:fldCharType="separate"/>
      </w:r>
      <w:r>
        <w:rPr>
          <w:rFonts w:hint="default" w:ascii="Times New Roman" w:hAnsi="Times New Roman" w:eastAsia="仿宋_GB2312" w:cs="Times New Roman"/>
          <w:color w:val="auto"/>
          <w:sz w:val="32"/>
          <w:szCs w:val="32"/>
        </w:rPr>
        <w:t>22</w:t>
      </w:r>
      <w:r>
        <w:rPr>
          <w:rFonts w:hint="default" w:ascii="Times New Roman" w:hAnsi="Times New Roman" w:eastAsia="仿宋_GB2312" w:cs="Times New Roman"/>
          <w:color w:val="auto"/>
          <w:sz w:val="32"/>
          <w:szCs w:val="32"/>
        </w:rPr>
        <w:fldChar w:fldCharType="end"/>
      </w:r>
      <w:r>
        <w:rPr>
          <w:rFonts w:hint="default" w:ascii="Times New Roman" w:hAnsi="Times New Roman" w:eastAsia="仿宋_GB2312" w:cs="Times New Roman"/>
          <w:color w:val="auto"/>
          <w:sz w:val="32"/>
          <w:szCs w:val="32"/>
        </w:rPr>
        <w:fldChar w:fldCharType="end"/>
      </w:r>
    </w:p>
    <w:p>
      <w:pPr>
        <w:pStyle w:val="16"/>
        <w:tabs>
          <w:tab w:val="right" w:leader="dot" w:pos="8835"/>
        </w:tabs>
        <w:spacing w:after="0" w:afterAutospacing="0" w:line="240" w:lineRule="atLeast"/>
        <w:ind w:firstLine="640" w:firstLineChars="200"/>
        <w:rPr>
          <w:rFonts w:hint="default" w:ascii="Times New Roman" w:hAnsi="Times New Roman" w:eastAsia="仿宋_GB2312" w:cs="Times New Roman"/>
          <w:bCs w:val="0"/>
          <w:caps w:val="0"/>
          <w:sz w:val="32"/>
          <w:szCs w:val="32"/>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"_Toc107236154"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附件2 辐射事故初始报告表</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_Toc107236154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27</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pStyle w:val="16"/>
        <w:tabs>
          <w:tab w:val="right" w:leader="dot" w:pos="8835"/>
        </w:tabs>
        <w:spacing w:after="0" w:afterAutospacing="0" w:line="240" w:lineRule="atLeast"/>
        <w:ind w:firstLine="640" w:firstLineChars="200"/>
        <w:rPr>
          <w:rFonts w:ascii="宋体" w:hAnsi="宋体" w:eastAsia="宋体" w:cs="Times New Roman"/>
          <w:bCs w:val="0"/>
          <w:caps w:val="0"/>
          <w:sz w:val="28"/>
          <w:szCs w:val="28"/>
        </w:rPr>
      </w:pP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\l "_Toc107236155" </w:instrText>
      </w:r>
      <w:r>
        <w:rPr>
          <w:rFonts w:hint="default" w:ascii="Times New Roman" w:hAnsi="Times New Roman" w:eastAsia="仿宋_GB2312" w:cs="Times New Roman"/>
          <w:sz w:val="32"/>
          <w:szCs w:val="32"/>
        </w:rPr>
        <w:fldChar w:fldCharType="separate"/>
      </w:r>
      <w:r>
        <w:rPr>
          <w:rStyle w:val="30"/>
          <w:rFonts w:hint="default" w:ascii="Times New Roman" w:hAnsi="Times New Roman" w:eastAsia="仿宋_GB2312" w:cs="Times New Roman"/>
          <w:sz w:val="32"/>
          <w:szCs w:val="32"/>
        </w:rPr>
        <w:t>附件3 辐射事故后续报告表</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PAGEREF _Toc107236155 \h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28</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fldChar w:fldCharType="end"/>
      </w:r>
    </w:p>
    <w:p>
      <w:pPr>
        <w:adjustRightInd w:val="0"/>
        <w:spacing w:line="580" w:lineRule="exact"/>
        <w:outlineLvl w:val="0"/>
        <w:rPr>
          <w:rFonts w:ascii="宋体" w:hAnsi="宋体" w:eastAsia="宋体"/>
          <w:bCs/>
          <w:sz w:val="28"/>
          <w:szCs w:val="28"/>
        </w:rPr>
      </w:pPr>
      <w:r>
        <w:rPr>
          <w:rFonts w:hint="eastAsia" w:ascii="宋体" w:hAnsi="宋体" w:eastAsia="宋体" w:cs="仿宋_GB2312"/>
          <w:bCs/>
          <w:sz w:val="28"/>
          <w:szCs w:val="28"/>
        </w:rPr>
        <w:fldChar w:fldCharType="end"/>
      </w:r>
    </w:p>
    <w:p>
      <w:pPr>
        <w:adjustRightInd w:val="0"/>
        <w:spacing w:line="580" w:lineRule="exact"/>
        <w:ind w:firstLine="640" w:firstLineChars="200"/>
        <w:outlineLvl w:val="0"/>
        <w:rPr>
          <w:rFonts w:eastAsia="黑体" w:cs="黑体"/>
          <w:bCs/>
          <w:sz w:val="32"/>
        </w:rPr>
        <w:sectPr>
          <w:footerReference r:id="rId6" w:type="default"/>
          <w:pgSz w:w="11906" w:h="16838"/>
          <w:pgMar w:top="2154" w:right="1474" w:bottom="1984" w:left="1587" w:header="851" w:footer="992" w:gutter="0"/>
          <w:pgNumType w:fmt="decimal" w:start="1"/>
          <w:cols w:space="720" w:num="1"/>
          <w:docGrid w:type="lines" w:linePitch="312" w:charSpace="0"/>
        </w:sectPr>
      </w:pP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0"/>
        <w:rPr>
          <w:rFonts w:hint="default" w:ascii="Times New Roman" w:hAnsi="Times New Roman" w:eastAsia="黑体" w:cs="Times New Roman"/>
          <w:sz w:val="32"/>
          <w:szCs w:val="32"/>
        </w:rPr>
      </w:pPr>
      <w:bookmarkStart w:id="9" w:name="_Toc107236114"/>
      <w:r>
        <w:rPr>
          <w:rFonts w:hint="default" w:ascii="Times New Roman" w:hAnsi="Times New Roman" w:eastAsia="黑体" w:cs="Times New Roman"/>
          <w:sz w:val="32"/>
          <w:szCs w:val="32"/>
        </w:rPr>
        <w:t>1总则</w:t>
      </w:r>
      <w:bookmarkEnd w:id="9"/>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10" w:name="_Toc107236115"/>
      <w:r>
        <w:rPr>
          <w:rFonts w:hint="default" w:ascii="Times New Roman" w:hAnsi="Times New Roman" w:eastAsia="楷体_GB2312" w:cs="Times New Roman"/>
          <w:sz w:val="32"/>
          <w:szCs w:val="32"/>
        </w:rPr>
        <w:t>1.1编制目的</w:t>
      </w:r>
      <w:bookmarkEnd w:id="10"/>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健全全区辐射事故应急机制，提高应对辐射事故的预防、预警和应急处置能力，减轻和消除辐射事故的风险和危害，保障公众生命健康，维护辐射环境安全，促进经济社会全面、协调、可持续发展，制定本预案。</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11" w:name="_Toc107236116"/>
      <w:r>
        <w:rPr>
          <w:rFonts w:hint="default" w:ascii="Times New Roman" w:hAnsi="Times New Roman" w:eastAsia="楷体_GB2312" w:cs="Times New Roman"/>
          <w:sz w:val="32"/>
          <w:szCs w:val="32"/>
        </w:rPr>
        <w:t>1.2编制依据</w:t>
      </w:r>
      <w:bookmarkEnd w:id="11"/>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环境保护法》《中华人民共和国放射性污染防治法》《中华人民共和国突发事件应对法》《放射性同位素与射线装置安全和防护条例》《国家突发环境事件应急预案》《环境保护部（国家核安全局）辐射事故应急预案》《山东省突发事件应对条例》《山东省辐射污染防治条例》《山东省辐射事故应急预案》《威海市突发环境事件应急预案》《威海市辐射事故应急预</w:t>
      </w:r>
      <w:r>
        <w:rPr>
          <w:rFonts w:hint="default" w:ascii="Times New Roman" w:hAnsi="Times New Roman" w:eastAsia="仿宋_GB2312" w:cs="Times New Roman"/>
          <w:color w:val="auto"/>
          <w:sz w:val="32"/>
          <w:szCs w:val="32"/>
        </w:rPr>
        <w:t>案》</w:t>
      </w:r>
      <w:r>
        <w:rPr>
          <w:rFonts w:hint="eastAsia" w:eastAsia="仿宋_GB2312"/>
          <w:color w:val="auto"/>
          <w:sz w:val="32"/>
          <w:szCs w:val="32"/>
        </w:rPr>
        <w:t>《</w:t>
      </w:r>
      <w:r>
        <w:rPr>
          <w:rFonts w:eastAsia="仿宋_GB2312"/>
          <w:color w:val="auto"/>
          <w:sz w:val="32"/>
          <w:szCs w:val="32"/>
        </w:rPr>
        <w:t>威海</w:t>
      </w:r>
      <w:r>
        <w:rPr>
          <w:rFonts w:hint="eastAsia" w:eastAsia="仿宋_GB2312"/>
          <w:color w:val="auto"/>
          <w:sz w:val="32"/>
          <w:szCs w:val="32"/>
          <w:lang w:eastAsia="zh-CN"/>
        </w:rPr>
        <w:t>经济技术开发区</w:t>
      </w:r>
      <w:r>
        <w:rPr>
          <w:rFonts w:hint="eastAsia" w:eastAsia="仿宋_GB2312"/>
          <w:color w:val="auto"/>
          <w:sz w:val="32"/>
          <w:szCs w:val="32"/>
        </w:rPr>
        <w:t>突发事件总体应急预案》</w:t>
      </w:r>
      <w:r>
        <w:rPr>
          <w:rFonts w:hint="default" w:ascii="Times New Roman" w:hAnsi="Times New Roman" w:eastAsia="仿宋_GB2312" w:cs="Times New Roman"/>
          <w:color w:val="auto"/>
          <w:sz w:val="32"/>
          <w:szCs w:val="32"/>
        </w:rPr>
        <w:t>。</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12" w:name="_Toc107236117"/>
      <w:r>
        <w:rPr>
          <w:rFonts w:hint="default" w:ascii="Times New Roman" w:hAnsi="Times New Roman" w:eastAsia="楷体_GB2312" w:cs="Times New Roman"/>
          <w:sz w:val="32"/>
          <w:szCs w:val="32"/>
        </w:rPr>
        <w:t>1.3适用范围</w:t>
      </w:r>
      <w:bookmarkEnd w:id="12"/>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预案适用于威海经济技术开发区除核事故以外的放射性同位素丢失、被盗、失控（包括泄漏、污染和恶意攻击等）或者因射线装置、放射性同位素失控而导致工作人员或者公众受到意外、非自愿异常照射事故的应急响应与准备。辐射事故包括以下几类：</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（1）核技术利用中发生的辐射事故；</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（2）放射性废物处理、处置设施发生的辐射事故；</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（3）铀(钍)矿及伴生放射性矿开发利用中发生的环境辐射污染事故；</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（4）放射性物质运输中发生的事故；</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（5）可能对我区环境造成辐射影响的境外核试验、核事故及辐射事故；</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（6）国内外航天器在我区内坠落造成环境辐射污染的事故；</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（7）各种重大自然灾害、安全生产事故引发的次生辐射事故。</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13" w:name="_Toc107236118"/>
      <w:r>
        <w:rPr>
          <w:rFonts w:hint="default" w:ascii="Times New Roman" w:hAnsi="Times New Roman" w:eastAsia="楷体_GB2312" w:cs="Times New Roman"/>
          <w:sz w:val="32"/>
          <w:szCs w:val="32"/>
        </w:rPr>
        <w:t>1.4应急原则</w:t>
      </w:r>
      <w:bookmarkEnd w:id="13"/>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以人为本，预防为主。把人民群众生命健康放在首位，最大程度保护人民群众生命财产安全；加强演练，强化预防、预警工作，加强放射源管理，做好安全隐患排查，完善救援保障体系。</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统一领导，部门联动。在区管委会的统一领导下，建立和完善部门联动机制，针对不同类型辐射事故的特点，充分发挥部门专业优势，共同处置辐射事故。</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分级响应，先期处置。严格落实辐射工作单位辐射安全主体责任，造成辐射事故的辐射工作单位应进行先期处置，控制事态、减轻后果，并第一时间报告当地生态环境部门。</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平战结合，常备不懈。各有关部门充分利用现有资源，完善辐射事故应急响应体系，加强应急能力建设，强化应急演练和培训，落实值班制度，快速高效处理处置突发辐射事故。</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14" w:name="_Toc107236119"/>
      <w:bookmarkStart w:id="15" w:name="_Toc3749"/>
      <w:r>
        <w:rPr>
          <w:rFonts w:hint="default" w:ascii="Times New Roman" w:hAnsi="Times New Roman" w:eastAsia="楷体_GB2312" w:cs="Times New Roman"/>
          <w:sz w:val="32"/>
          <w:szCs w:val="32"/>
        </w:rPr>
        <w:t>1.5风险评估</w:t>
      </w:r>
      <w:bookmarkEnd w:id="14"/>
      <w:bookmarkEnd w:id="15"/>
    </w:p>
    <w:p>
      <w:pPr>
        <w:pStyle w:val="9"/>
        <w:keepNext w:val="0"/>
        <w:keepLines w:val="0"/>
        <w:pageBreakBefore w:val="0"/>
        <w:kinsoku/>
        <w:wordWrap/>
        <w:overflowPunct/>
        <w:topLinePunct w:val="0"/>
        <w:autoSpaceDE/>
        <w:autoSpaceDN/>
        <w:bidi w:val="0"/>
        <w:snapToGrid/>
        <w:spacing w:after="0" w:line="552" w:lineRule="exact"/>
        <w:textAlignment w:val="auto"/>
        <w:rPr>
          <w:rFonts w:hint="default" w:ascii="Times New Roman" w:hAnsi="Times New Roman" w:cs="Times New Roman"/>
          <w:color w:val="000000"/>
          <w:szCs w:val="32"/>
        </w:rPr>
      </w:pPr>
      <w:bookmarkStart w:id="16" w:name="_Toc404797988"/>
      <w:bookmarkStart w:id="17" w:name="_Toc434220469"/>
      <w:bookmarkStart w:id="18" w:name="_Toc404839167"/>
      <w:bookmarkStart w:id="19" w:name="_Toc404798601"/>
      <w:bookmarkStart w:id="20" w:name="_Toc404754092"/>
      <w:bookmarkStart w:id="21" w:name="_Toc437499537"/>
      <w:bookmarkStart w:id="22" w:name="_Toc404798195"/>
      <w:bookmarkStart w:id="23" w:name="_Toc404796854"/>
      <w:bookmarkStart w:id="24" w:name="_Toc434935510"/>
      <w:bookmarkStart w:id="25" w:name="_Toc404709831"/>
      <w:bookmarkStart w:id="26" w:name="_Toc404798325"/>
      <w:r>
        <w:rPr>
          <w:rFonts w:hint="default" w:ascii="Times New Roman" w:hAnsi="Times New Roman" w:cs="Times New Roman"/>
          <w:color w:val="000000"/>
          <w:szCs w:val="32"/>
        </w:rPr>
        <w:t>1.5.1环境风险现状</w:t>
      </w:r>
      <w:bookmarkEnd w:id="16"/>
      <w:bookmarkEnd w:id="17"/>
      <w:bookmarkEnd w:id="18"/>
      <w:bookmarkEnd w:id="19"/>
      <w:bookmarkEnd w:id="20"/>
      <w:bookmarkEnd w:id="21"/>
      <w:bookmarkEnd w:id="22"/>
      <w:bookmarkEnd w:id="23"/>
      <w:bookmarkEnd w:id="24"/>
      <w:bookmarkEnd w:id="25"/>
      <w:bookmarkEnd w:id="26"/>
    </w:p>
    <w:p>
      <w:pPr>
        <w:pStyle w:val="9"/>
        <w:keepNext w:val="0"/>
        <w:keepLines w:val="0"/>
        <w:pageBreakBefore w:val="0"/>
        <w:kinsoku/>
        <w:wordWrap/>
        <w:overflowPunct/>
        <w:topLinePunct w:val="0"/>
        <w:autoSpaceDE/>
        <w:autoSpaceDN/>
        <w:bidi w:val="0"/>
        <w:snapToGrid/>
        <w:spacing w:after="0" w:line="552" w:lineRule="exact"/>
        <w:textAlignment w:val="auto"/>
        <w:rPr>
          <w:rFonts w:hint="default" w:ascii="Times New Roman" w:hAnsi="Times New Roman" w:cs="Times New Roman"/>
          <w:color w:val="000000"/>
          <w:szCs w:val="32"/>
        </w:rPr>
      </w:pPr>
      <w:bookmarkStart w:id="27" w:name="_Toc404754093"/>
      <w:bookmarkStart w:id="28" w:name="_Toc404798196"/>
      <w:bookmarkStart w:id="29" w:name="_Toc391994117"/>
      <w:bookmarkStart w:id="30" w:name="_Toc404798602"/>
      <w:bookmarkStart w:id="31" w:name="_Toc404796855"/>
      <w:bookmarkStart w:id="32" w:name="_Toc434935511"/>
      <w:bookmarkStart w:id="33" w:name="_Toc434220470"/>
      <w:bookmarkStart w:id="34" w:name="_Toc404797989"/>
      <w:bookmarkStart w:id="35" w:name="_Toc391994494"/>
      <w:bookmarkStart w:id="36" w:name="_Toc404839168"/>
      <w:bookmarkStart w:id="37" w:name="_Toc404798326"/>
      <w:bookmarkStart w:id="38" w:name="_Toc437499538"/>
      <w:bookmarkStart w:id="39" w:name="_Toc404709832"/>
      <w:r>
        <w:rPr>
          <w:rFonts w:hint="default" w:ascii="Times New Roman" w:hAnsi="Times New Roman" w:cs="Times New Roman"/>
          <w:color w:val="000000"/>
          <w:szCs w:val="32"/>
        </w:rPr>
        <w:t>截至目前，全区共有放射源使用单位1家，在用放射源共1枚，</w:t>
      </w:r>
      <w:r>
        <w:rPr>
          <w:rFonts w:hint="default" w:ascii="Times New Roman" w:hAnsi="Times New Roman" w:cs="Times New Roman"/>
          <w:color w:val="000000"/>
          <w:szCs w:val="32"/>
          <w:lang w:eastAsia="zh-CN"/>
        </w:rPr>
        <w:t>为</w:t>
      </w:r>
      <w:r>
        <w:rPr>
          <w:rFonts w:hint="default" w:ascii="Times New Roman" w:hAnsi="Times New Roman" w:cs="Times New Roman"/>
          <w:color w:val="000000"/>
          <w:szCs w:val="32"/>
        </w:rPr>
        <w:t>Ⅱ类放射源；辖区内射线装置使用</w:t>
      </w:r>
      <w:r>
        <w:rPr>
          <w:rFonts w:hint="default" w:ascii="Times New Roman" w:hAnsi="Times New Roman" w:cs="Times New Roman"/>
          <w:color w:val="auto"/>
          <w:szCs w:val="32"/>
        </w:rPr>
        <w:t>单位共</w:t>
      </w:r>
      <w:r>
        <w:rPr>
          <w:rFonts w:hint="eastAsia" w:ascii="Times New Roman" w:hAnsi="Times New Roman" w:cs="Times New Roman"/>
          <w:color w:val="auto"/>
          <w:szCs w:val="32"/>
          <w:lang w:val="en-US" w:eastAsia="zh-CN"/>
        </w:rPr>
        <w:t>20</w:t>
      </w:r>
      <w:r>
        <w:rPr>
          <w:rFonts w:hint="default" w:ascii="Times New Roman" w:hAnsi="Times New Roman" w:cs="Times New Roman"/>
          <w:color w:val="auto"/>
          <w:szCs w:val="32"/>
        </w:rPr>
        <w:t>家，其中Ⅱ类射线装置单位</w:t>
      </w:r>
      <w:r>
        <w:rPr>
          <w:rFonts w:hint="default" w:ascii="Times New Roman" w:hAnsi="Times New Roman" w:cs="Times New Roman"/>
          <w:color w:val="auto"/>
          <w:szCs w:val="32"/>
          <w:lang w:val="en-US" w:eastAsia="zh-CN"/>
        </w:rPr>
        <w:t>1</w:t>
      </w:r>
      <w:r>
        <w:rPr>
          <w:rFonts w:hint="default" w:ascii="Times New Roman" w:hAnsi="Times New Roman" w:cs="Times New Roman"/>
          <w:color w:val="auto"/>
          <w:szCs w:val="32"/>
        </w:rPr>
        <w:t>7台套，Ⅲ类射线装置单位</w:t>
      </w:r>
      <w:r>
        <w:rPr>
          <w:rFonts w:hint="eastAsia" w:ascii="Times New Roman" w:hAnsi="Times New Roman" w:cs="Times New Roman"/>
          <w:color w:val="auto"/>
          <w:szCs w:val="32"/>
          <w:lang w:val="en-US" w:eastAsia="zh-CN"/>
        </w:rPr>
        <w:t>45</w:t>
      </w:r>
      <w:r>
        <w:rPr>
          <w:rFonts w:hint="default" w:ascii="Times New Roman" w:hAnsi="Times New Roman" w:cs="Times New Roman"/>
          <w:color w:val="auto"/>
          <w:szCs w:val="32"/>
        </w:rPr>
        <w:t>台套</w:t>
      </w:r>
      <w:r>
        <w:rPr>
          <w:rFonts w:hint="default" w:ascii="Times New Roman" w:hAnsi="Times New Roman" w:cs="Times New Roman"/>
          <w:color w:val="000000"/>
          <w:szCs w:val="32"/>
        </w:rPr>
        <w:t>。</w:t>
      </w:r>
    </w:p>
    <w:p>
      <w:pPr>
        <w:pStyle w:val="9"/>
        <w:keepNext w:val="0"/>
        <w:keepLines w:val="0"/>
        <w:pageBreakBefore w:val="0"/>
        <w:kinsoku/>
        <w:wordWrap/>
        <w:overflowPunct/>
        <w:topLinePunct w:val="0"/>
        <w:autoSpaceDE/>
        <w:autoSpaceDN/>
        <w:bidi w:val="0"/>
        <w:snapToGrid/>
        <w:spacing w:after="0" w:line="552" w:lineRule="exact"/>
        <w:textAlignment w:val="auto"/>
        <w:rPr>
          <w:rFonts w:hint="default" w:ascii="Times New Roman" w:hAnsi="Times New Roman" w:cs="Times New Roman"/>
          <w:color w:val="000000"/>
          <w:szCs w:val="32"/>
        </w:rPr>
      </w:pPr>
      <w:r>
        <w:rPr>
          <w:rFonts w:hint="default" w:ascii="Times New Roman" w:hAnsi="Times New Roman" w:cs="Times New Roman"/>
          <w:color w:val="000000"/>
          <w:szCs w:val="32"/>
        </w:rPr>
        <w:t>1.5.2</w:t>
      </w:r>
      <w:bookmarkEnd w:id="27"/>
      <w:bookmarkEnd w:id="28"/>
      <w:bookmarkEnd w:id="29"/>
      <w:bookmarkEnd w:id="30"/>
      <w:bookmarkEnd w:id="31"/>
      <w:bookmarkEnd w:id="32"/>
      <w:bookmarkEnd w:id="33"/>
      <w:bookmarkEnd w:id="34"/>
      <w:bookmarkEnd w:id="35"/>
      <w:bookmarkEnd w:id="36"/>
      <w:bookmarkEnd w:id="37"/>
      <w:bookmarkEnd w:id="38"/>
      <w:bookmarkEnd w:id="39"/>
      <w:r>
        <w:rPr>
          <w:rFonts w:hint="default" w:ascii="Times New Roman" w:hAnsi="Times New Roman" w:cs="Times New Roman"/>
          <w:color w:val="000000"/>
          <w:szCs w:val="32"/>
        </w:rPr>
        <w:t>风险评估</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color w:val="000000"/>
          <w:kern w:val="0"/>
          <w:sz w:val="32"/>
          <w:szCs w:val="32"/>
          <w:lang w:bidi="en-US"/>
        </w:rPr>
      </w:pPr>
      <w:r>
        <w:rPr>
          <w:rFonts w:hint="default" w:ascii="Times New Roman" w:hAnsi="Times New Roman" w:eastAsia="仿宋_GB2312" w:cs="Times New Roman"/>
          <w:color w:val="000000"/>
          <w:kern w:val="0"/>
          <w:sz w:val="32"/>
          <w:szCs w:val="32"/>
          <w:lang w:bidi="en-US"/>
        </w:rPr>
        <w:t>辐射事故的发生具有突然性、不易感知性和不可控性的特点，对环境、人群等会产生较严重危害，且易引起公众恐慌。区核技术利用单位多、分布广，放射性同位素数量大，且转让、回收、转运频繁，根据现有情况及其特点，可能出现以下4类辐射风险事故：</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（1）含源设备或射线装置在使用过程中出现故障或操作不当，导致的人员超剂量误照事故；</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（2）由于保管不力或操作不当，导致放射源丢失、被盗或失控的事故；</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（3）放射性物质泄漏，造成环境放射性污染事故；</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（4）由于保管不力或交通事故等，导致放射性物质在运输途中丢失、被盗或失控事故。</w:t>
      </w:r>
      <w:bookmarkStart w:id="40" w:name="_Toc107236120"/>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2辐射事故分级</w:t>
      </w:r>
      <w:bookmarkEnd w:id="40"/>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根据辐射事故的性质、严重程度、可控性和影响范围等因素，将辐射事故分为特别重大辐射事故、重大辐射事故、较大辐射事故和一般辐射事故四个等级。</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kern w:val="0"/>
          <w:sz w:val="32"/>
          <w:szCs w:val="32"/>
        </w:rPr>
        <w:t xml:space="preserve">1.特别重大辐射事故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凡符合下列情形之一的，为特别重大辐射事故：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（1）Ⅰ、Ⅱ类放射源丢失、被盗、失控并造成大范围严重辐射污染后果；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（2）放射性同位素和射线装置失控导致3人及以上急性死亡；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（3）放射性物质泄漏，造成大范围辐射污染后果；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（4）对省内可能或已经造成较大范围辐射环境影响的航天器坠落事件或省外发生的核试验、核事故及辐射事故。</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kern w:val="0"/>
          <w:sz w:val="32"/>
          <w:szCs w:val="32"/>
        </w:rPr>
        <w:t xml:space="preserve">2.重大辐射事故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凡符合下列情形之一的，为重大辐射事故：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（1）Ⅰ、Ⅱ类放射源丢失、被盗、失控；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（2）放射性同位素和射线装置失控导致3人以下急性死亡或者10人及以上急性重度放射病、局部器官残疾；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（3）放射性物质泄漏，造成较大范围辐射污染后果。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kern w:val="0"/>
          <w:sz w:val="32"/>
          <w:szCs w:val="32"/>
        </w:rPr>
        <w:t xml:space="preserve">3.较大辐射事故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凡符合下列情形之一的，为较大辐射事故：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（1）Ⅲ类放射源丢失、被盗、失控；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（2）放射性同位素和射线装置失控导致10人以下急性重度放射病、局部器官残疾；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（3）放射性物质泄漏，造成小范围辐射污染后果。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kern w:val="0"/>
          <w:sz w:val="32"/>
          <w:szCs w:val="32"/>
        </w:rPr>
        <w:t xml:space="preserve">4.一般辐射事故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凡符合下列情形之一的，为一般辐射事故：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（1）Ⅳ、V类放射源丢失、被盗、失控；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（2）放射性同位素和射线装置失控导致人员受到超过年剂量限值的照射；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（3）放射性物质泄漏，造成局部辐射污染后果；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 xml:space="preserve">（4）铀（钍）矿及伴生放射性矿开发利用超标排放，造成环境辐射污染后果； </w:t>
      </w:r>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（5）测井用放射源落井，打捞不成功进行封井处理。 </w:t>
      </w:r>
      <w:bookmarkStart w:id="41" w:name="_Toc107236121"/>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黑体" w:cs="Times New Roman"/>
          <w:sz w:val="32"/>
          <w:szCs w:val="32"/>
        </w:rPr>
        <w:t>组织机构与职责</w:t>
      </w:r>
      <w:bookmarkEnd w:id="41"/>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42" w:name="_Toc107236122"/>
      <w:r>
        <w:rPr>
          <w:rFonts w:hint="default" w:ascii="Times New Roman" w:hAnsi="Times New Roman" w:eastAsia="楷体_GB2312" w:cs="Times New Roman"/>
          <w:sz w:val="32"/>
          <w:szCs w:val="32"/>
        </w:rPr>
        <w:t>3.1区辐射事故应急指挥部</w:t>
      </w:r>
      <w:bookmarkEnd w:id="42"/>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3.1.1领导机构组成</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区生态环境委员会下设区辐射事故应急指挥部，负责辐射事故应对工作。组成成员如下：</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组  长：区管委会分管生态环境工作的副主任</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副组长：生态环境分局局长</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组成部门：生态环境分局、党政办公室、财政金融局、公安分局、卫生健康管理办公室、交警三大队和事发地所在镇政府、街道办事处（以下简称“镇街”）。</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3.1.2</w:t>
      </w:r>
      <w:r>
        <w:rPr>
          <w:rFonts w:hint="default" w:ascii="Times New Roman" w:hAnsi="Times New Roman" w:eastAsia="楷体_GB2312" w:cs="Times New Roman"/>
          <w:sz w:val="32"/>
          <w:szCs w:val="32"/>
        </w:rPr>
        <w:t>应急指挥部</w:t>
      </w:r>
      <w:r>
        <w:rPr>
          <w:rFonts w:hint="default" w:ascii="Times New Roman" w:hAnsi="Times New Roman" w:eastAsia="仿宋_GB2312" w:cs="Times New Roman"/>
          <w:sz w:val="32"/>
          <w:szCs w:val="32"/>
        </w:rPr>
        <w:t>主要职责</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统一领导全区辐射事故的应急准备和应急响应工作；负责贯彻执行国家、省、市辐射事故应急方针、政策以及关于特别重大辐射事故、重大辐射事故应急响应的指示；组织、协调、指挥全区辐射事故的应急准备和应急响应工作；发布和决定区内较大辐射事故应急响应的预警、启动和终止；根据受影响地区的放射性水平，执行采取有效的防护和恢复正常秩序的措施；审定上报的辐射事故应急处理处置情况报告；负责辐射事故相关信息发布、舆论的引导和监控工作。</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3.1.3组成部门职责</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生态环境分局：负责辐射事故的应急、调查处理和定性定级工作，并将有关情况报上级生态环境部门和同级政府；协助公安部门监控追缴丢失、被盗的放射源等。</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党政办公室：负责组织协调新闻媒体做好宣传报道；加强舆情信息监测和管理，正确引导舆论；配合指挥机构或上级部门发布信息等。</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财政金融局：负责辐射事故应急工作的经费保障等。</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安分局、交警三大队：负责对放射源的安全保卫和道路运输安全的监管；负责丢失、被盗放射源的立案、侦查和追缴；负责指导、协调事故发生地公安机关执行现场警戒和交通管制，维护现场治安秩序等任务；参与辐射事故的应急处置行动和事故调查处理等。</w:t>
      </w:r>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cs="Times New Roman"/>
          <w:color w:val="000000"/>
          <w:szCs w:val="32"/>
        </w:rPr>
      </w:pPr>
      <w:r>
        <w:rPr>
          <w:rFonts w:hint="default" w:ascii="Times New Roman" w:hAnsi="Times New Roman" w:eastAsia="仿宋_GB2312" w:cs="Times New Roman"/>
          <w:sz w:val="32"/>
          <w:szCs w:val="32"/>
        </w:rPr>
        <w:t>卫生健康管理办公室：负责辐射事故的应急医疗救援，指导对可能受到辐射伤害的人员进行健康影响评估工作；参与辐射事故应急相关的公众宣传；参与辐射事故其他相关应急处置行动等。</w:t>
      </w:r>
    </w:p>
    <w:p>
      <w:pPr>
        <w:pStyle w:val="9"/>
        <w:keepNext w:val="0"/>
        <w:keepLines w:val="0"/>
        <w:pageBreakBefore w:val="0"/>
        <w:kinsoku/>
        <w:wordWrap/>
        <w:overflowPunct/>
        <w:topLinePunct w:val="0"/>
        <w:autoSpaceDE/>
        <w:autoSpaceDN/>
        <w:bidi w:val="0"/>
        <w:snapToGrid/>
        <w:spacing w:after="0" w:line="552" w:lineRule="exact"/>
        <w:ind w:left="0" w:leftChars="0" w:firstLine="640" w:firstLineChars="200"/>
        <w:textAlignment w:val="auto"/>
        <w:rPr>
          <w:rFonts w:hint="default" w:ascii="Times New Roman" w:hAnsi="Times New Roman" w:cs="Times New Roman"/>
          <w:color w:val="000000"/>
          <w:szCs w:val="32"/>
        </w:rPr>
      </w:pPr>
      <w:r>
        <w:rPr>
          <w:rFonts w:hint="default" w:ascii="Times New Roman" w:hAnsi="Times New Roman" w:cs="Times New Roman"/>
          <w:color w:val="000000"/>
          <w:szCs w:val="32"/>
        </w:rPr>
        <w:t>各镇街：承担本辖区辐射事故应急响应的先期处置和配合处置任务。按照属地为主、先期处置的原则，及时组织有关单位控制事故现场、开展前期处置和救援工作，了解事故发生原因、事故状态和发展趋势，及时向区辐射事故应急指挥部报告情况；为参与辐射事故应急响应的队伍和人员提供工作条件；贯彻执行国家、省有关辐射事故应急的法律法规、政策及应急指令；完成国家、省、市、区辐射事故应急指挥部下达的其他应急任务。</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43" w:name="_Toc107236123"/>
      <w:r>
        <w:rPr>
          <w:rFonts w:hint="default" w:ascii="Times New Roman" w:hAnsi="Times New Roman" w:eastAsia="楷体_GB2312" w:cs="Times New Roman"/>
          <w:sz w:val="32"/>
          <w:szCs w:val="32"/>
        </w:rPr>
        <w:t>3.2区辐射事故应急指挥办公室</w:t>
      </w:r>
      <w:bookmarkEnd w:id="43"/>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区辐射事故应急指挥部下设办公室，办公室设在生态环境分局，生态环境分局局长兼任办公室主任。</w:t>
      </w:r>
    </w:p>
    <w:p>
      <w:pPr>
        <w:pStyle w:val="9"/>
        <w:keepNext w:val="0"/>
        <w:keepLines w:val="0"/>
        <w:pageBreakBefore w:val="0"/>
        <w:kinsoku/>
        <w:wordWrap/>
        <w:overflowPunct/>
        <w:topLinePunct w:val="0"/>
        <w:autoSpaceDE/>
        <w:autoSpaceDN/>
        <w:bidi w:val="0"/>
        <w:snapToGrid/>
        <w:spacing w:after="0" w:line="552" w:lineRule="exact"/>
        <w:ind w:left="0" w:leftChars="0" w:firstLine="640" w:firstLineChars="200"/>
        <w:textAlignment w:val="auto"/>
        <w:rPr>
          <w:rFonts w:hint="default" w:ascii="Times New Roman" w:hAnsi="Times New Roman" w:cs="Times New Roman"/>
          <w:color w:val="000000"/>
          <w:szCs w:val="32"/>
        </w:rPr>
      </w:pPr>
      <w:r>
        <w:rPr>
          <w:rFonts w:hint="default" w:ascii="Times New Roman" w:hAnsi="Times New Roman" w:cs="Times New Roman"/>
          <w:color w:val="000000"/>
          <w:szCs w:val="32"/>
        </w:rPr>
        <w:t>区辐射事故应急指挥部办公室主要职责：负责处理区辐射事故应急指挥部日常工作；传达指挥部决定事项，并检查、督促落实情况；组织、协调、调度本指挥部成员单位按照预案和职责开展突发事件防范处置工作;指</w:t>
      </w:r>
      <w:r>
        <w:rPr>
          <w:rFonts w:hint="default" w:ascii="Times New Roman" w:hAnsi="Times New Roman" w:cs="Times New Roman"/>
          <w:color w:val="auto"/>
          <w:szCs w:val="32"/>
        </w:rPr>
        <w:t>导管委有关部门及各镇街及时做好辐射事故应急准备工作；负责督促、检查、指导本指挥部所属应急救援队伍建设、应急物资储备管理、应急管理宣教培训等工作；及时向区辐射事故应急指挥部提出启动、终止本预案应急响应的建议；及时组织整理辐射事故应急处理处置情况并报告区辐射事故应急指挥部、管委；</w:t>
      </w:r>
      <w:r>
        <w:rPr>
          <w:rFonts w:hint="default" w:ascii="Times New Roman" w:hAnsi="Times New Roman" w:cs="Times New Roman"/>
          <w:color w:val="000000"/>
          <w:szCs w:val="32"/>
        </w:rPr>
        <w:t>负责本预案专家组的日常管理和联系工作。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仿宋_GB2312" w:cs="Times New Roman"/>
          <w:sz w:val="32"/>
          <w:szCs w:val="32"/>
        </w:rPr>
      </w:pPr>
      <w:bookmarkStart w:id="44" w:name="_Toc107236124"/>
      <w:r>
        <w:rPr>
          <w:rFonts w:hint="default" w:ascii="Times New Roman" w:hAnsi="Times New Roman" w:eastAsia="楷体_GB2312" w:cs="Times New Roman"/>
          <w:sz w:val="32"/>
          <w:szCs w:val="32"/>
        </w:rPr>
        <w:t>3.3区辐射事故现场指挥部</w:t>
      </w:r>
      <w:bookmarkEnd w:id="44"/>
    </w:p>
    <w:p>
      <w:pPr>
        <w:keepNext w:val="0"/>
        <w:keepLines w:val="0"/>
        <w:pageBreakBefore w:val="0"/>
        <w:kinsoku/>
        <w:wordWrap/>
        <w:overflowPunct/>
        <w:topLinePunct w:val="0"/>
        <w:autoSpaceDE/>
        <w:autoSpaceDN/>
        <w:bidi w:val="0"/>
        <w:snapToGrid/>
        <w:spacing w:line="552" w:lineRule="exact"/>
        <w:ind w:firstLine="640" w:firstLineChars="200"/>
        <w:contextualSpacing/>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发生辐射事故时，根据需要成立区辐射事故现场指挥部，现场指挥部包括：应急监测组、医疗救援组、应急处置组、舆情信息组、专家咨询组、应急保障组等6个专业组，由区辐射事故现场指挥部统一指挥。</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应急监测组。由生态环境分局牵头，有关监测单位参加。配合上级部门做好辐射事故的应急响应及监测工作；负责一般辐射事故预测和后果评价，及时提出应急措施，指导公众应急防护；做好区辐射事故应急指挥部安排的其他相关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医疗救援组。由卫生健康管理办公室牵头，有关医疗机构参加。根据放射性物质的种类、危害特性，指导个体防护，发放所需药品；根据上级部门指导，对受辐射事故影响人员实施应急救援，做好对放射病和受超剂量照射的人员实施现场救护、医学救治及心理干预等工作；做好区辐射事故应急指挥部安排的其他相关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应急处置组。由生态环境分局牵头，公安分局、交警三大队、各镇（街道）参与。负责应急抢险救援、现场安保和交通秩序维护等；负责丢失、被盗放射源的追缴，事故放射源的安全处置；做好区辐射事故应急指挥部安排的其他相关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舆情信息组。由党政办公室牵头，生态环境分局、公安分局、卫生健康管理办公室、各镇（街道）参加。负责收集分析舆情，及时报送重要信息，向区辐射事故应急指挥部提出舆情应对建议；组织指导报刊、电台、电视、网络等新闻媒体及时宣传报道；组织开展辐射事故应急期间的公众宣传和专家解读，应对媒体采访和公众咨询；做好区辐射事故应急指挥部安排的其他相关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专家咨询组。负责为辐射事故应急提供技术咨询，为辐射事故应急决定提供技术支持；做好区辐射事故应急指挥部安排的其他相关工作。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sz w:val="32"/>
          <w:szCs w:val="32"/>
        </w:rPr>
        <w:t>应急保障组。由事故发生地镇（街道）政府牵头，生态环境分局、党政办公室、财政金融局、公安分局、卫生健康管理办公室、交警三大队参加。</w:t>
      </w:r>
      <w:r>
        <w:rPr>
          <w:rFonts w:hint="default" w:ascii="Times New Roman" w:hAnsi="Times New Roman" w:eastAsia="仿宋_GB2312" w:cs="Times New Roman"/>
          <w:sz w:val="32"/>
          <w:szCs w:val="32"/>
        </w:rPr>
        <w:t>负责为辐射事故应急响应提供设备、交通和物资保障；做好区辐射事故应急指挥部安排的其他相关工作。</w:t>
      </w:r>
      <w:bookmarkStart w:id="45" w:name="_Toc107236125"/>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eastAsia" w:ascii="Times New Roman" w:hAnsi="Times New Roman" w:eastAsia="黑体" w:cs="Times New Roman"/>
          <w:bCs/>
          <w:sz w:val="32"/>
          <w:szCs w:val="32"/>
          <w:lang w:val="en-US" w:eastAsia="zh-CN"/>
        </w:rPr>
      </w:pPr>
      <w:r>
        <w:rPr>
          <w:rFonts w:hint="default" w:ascii="Times New Roman" w:hAnsi="Times New Roman" w:eastAsia="黑体" w:cs="Times New Roman"/>
          <w:bCs/>
          <w:sz w:val="32"/>
          <w:szCs w:val="32"/>
        </w:rPr>
        <w:t>4监控预警</w:t>
      </w:r>
      <w:bookmarkEnd w:id="45"/>
      <w:r>
        <w:rPr>
          <w:rFonts w:hint="eastAsia" w:ascii="Times New Roman" w:hAnsi="Times New Roman" w:eastAsia="黑体" w:cs="Times New Roman"/>
          <w:bCs/>
          <w:sz w:val="32"/>
          <w:szCs w:val="32"/>
          <w:lang w:val="en-US" w:eastAsia="zh-CN"/>
        </w:rPr>
        <w:t xml:space="preserve"> </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楷体_GB2312" w:cs="Times New Roman"/>
          <w:bCs/>
          <w:sz w:val="32"/>
          <w:szCs w:val="32"/>
        </w:rPr>
      </w:pPr>
      <w:bookmarkStart w:id="46" w:name="_Toc107236126"/>
      <w:r>
        <w:rPr>
          <w:rFonts w:hint="default" w:ascii="Times New Roman" w:hAnsi="Times New Roman" w:eastAsia="楷体_GB2312" w:cs="Times New Roman"/>
          <w:bCs/>
          <w:sz w:val="32"/>
          <w:szCs w:val="32"/>
        </w:rPr>
        <w:t>4.1信息监控</w:t>
      </w:r>
      <w:bookmarkEnd w:id="46"/>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核技术利用单位或放射性物质运输单位负责本单位辐射安全管理工作，制定本单位的辐射监测方案、防护管理制度和应急预案，落实各项应急准备工作，排查潜在的风险隐患，预防辐射事故的发生。区辐射事故应急指挥部办公室组织建立辐射监管队伍，开展辐射环境监管工作，协调上级部门对区域内可能存在的环境风险进行辐射监测。</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楷体_GB2312" w:cs="Times New Roman"/>
          <w:bCs/>
          <w:sz w:val="32"/>
          <w:szCs w:val="32"/>
        </w:rPr>
      </w:pPr>
      <w:bookmarkStart w:id="47" w:name="_Toc107236127"/>
      <w:r>
        <w:rPr>
          <w:rFonts w:hint="default" w:ascii="Times New Roman" w:hAnsi="Times New Roman" w:eastAsia="楷体_GB2312" w:cs="Times New Roman"/>
          <w:bCs/>
          <w:sz w:val="32"/>
          <w:szCs w:val="32"/>
        </w:rPr>
        <w:t>4.2预防工作</w:t>
      </w:r>
      <w:bookmarkEnd w:id="47"/>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涉辐射单位负责本单位辐射安全管理工作，制定本单位辐射事故应急处置方案，落实各项应急准备工作，预防辐射事故的发生。生态环境部门和其他有关部门按照各自职责对辐射工作单位进行监督检查，对重点放射源实施有效监控，预防和减少辐射事故的发生。</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1"/>
        <w:rPr>
          <w:rFonts w:hint="default" w:ascii="Times New Roman" w:hAnsi="Times New Roman" w:eastAsia="楷体_GB2312" w:cs="Times New Roman"/>
          <w:bCs/>
          <w:sz w:val="32"/>
          <w:szCs w:val="32"/>
        </w:rPr>
      </w:pPr>
      <w:bookmarkStart w:id="48" w:name="_Toc107236128"/>
      <w:r>
        <w:rPr>
          <w:rFonts w:hint="default" w:ascii="Times New Roman" w:hAnsi="Times New Roman" w:eastAsia="楷体_GB2312" w:cs="Times New Roman"/>
          <w:bCs/>
          <w:sz w:val="32"/>
          <w:szCs w:val="32"/>
        </w:rPr>
        <w:t>4.3预警工作</w:t>
      </w:r>
      <w:bookmarkEnd w:id="48"/>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发生或者即将发生对我区产生辐射安全风险的：可能对环境造成辐射影响的境外核试验、核事故及辐射事故；航天器坠落造成环境放射性污染的事故；各种重大自然灾害引发的次生辐射事故；放射源丢失、被盗以及放射性同位素、射线装置失控等核技术利用中发生的辐射事故；放射性物质运输中发生的辐射事故时,区辐射事故应急指挥部根据分析评估结果，按照有关规定发布预警信息。</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按照辐射事故的紧急程度、发展态势和可能造成的危害程度，预警级别从低到高可分为四级、三级、二级和一级，分别用蓝色、黄色、橙色和红色标示。</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进入预警状态后，区辐射事故应急指挥部办公室应按照有关规定立即发布预警信息，其中蓝色、黄色预警信息由区辐射事故应急指挥部办公室发布，橙色、红色预警信息由区辐射事故应急指挥部发布，并及时</w:t>
      </w:r>
      <w:r>
        <w:rPr>
          <w:rFonts w:hint="default" w:ascii="Times New Roman" w:hAnsi="Times New Roman" w:eastAsia="仿宋_GB2312" w:cs="Times New Roman"/>
          <w:bCs/>
          <w:color w:val="auto"/>
          <w:sz w:val="32"/>
          <w:szCs w:val="32"/>
        </w:rPr>
        <w:t>向</w:t>
      </w:r>
      <w:r>
        <w:rPr>
          <w:rFonts w:hint="eastAsia" w:ascii="Times New Roman" w:hAnsi="Times New Roman" w:cs="Times New Roman"/>
          <w:bCs/>
          <w:color w:val="auto"/>
          <w:sz w:val="32"/>
          <w:szCs w:val="32"/>
          <w:lang w:eastAsia="zh-CN"/>
        </w:rPr>
        <w:t>区党</w:t>
      </w:r>
      <w:r>
        <w:rPr>
          <w:rFonts w:hint="default" w:ascii="Times New Roman" w:hAnsi="Times New Roman" w:eastAsia="仿宋_GB2312" w:cs="Times New Roman"/>
          <w:bCs/>
          <w:color w:val="auto"/>
          <w:sz w:val="32"/>
          <w:szCs w:val="32"/>
        </w:rPr>
        <w:t>工委管委总</w:t>
      </w:r>
      <w:r>
        <w:rPr>
          <w:rFonts w:hint="default" w:ascii="Times New Roman" w:hAnsi="Times New Roman" w:eastAsia="仿宋_GB2312" w:cs="Times New Roman"/>
          <w:bCs/>
          <w:sz w:val="32"/>
          <w:szCs w:val="32"/>
        </w:rPr>
        <w:t>值班室和市辐射事故应急指挥部报告，同时指令各辐射事故应急监测、处置队伍进入应急状态，开展应急监测，随时掌握并报告事态进展情况。针对辐射事故可能造成的危害，封闭、隔离或者限制使用有关场所，中止可能导致危害扩大的行为和活动，调集辐射事故应急所需物资和设备，做好应急准备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根据事态的发展，适时调整预警信息并更新发布，当辐射事故风险已经解除，要立即宣布解除警报，终止预警期，解除已经采取的有关措施。</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outlineLvl w:val="0"/>
        <w:rPr>
          <w:rFonts w:hint="default" w:ascii="Times New Roman" w:hAnsi="Times New Roman" w:eastAsia="黑体" w:cs="Times New Roman"/>
          <w:sz w:val="32"/>
          <w:szCs w:val="32"/>
        </w:rPr>
      </w:pPr>
      <w:bookmarkStart w:id="49" w:name="_Toc107236129"/>
      <w:r>
        <w:rPr>
          <w:rFonts w:hint="default" w:ascii="Times New Roman" w:hAnsi="Times New Roman" w:eastAsia="仿宋_GB2312" w:cs="Times New Roman"/>
          <w:bCs/>
          <w:sz w:val="32"/>
          <w:szCs w:val="32"/>
        </w:rPr>
        <w:t>5</w:t>
      </w:r>
      <w:r>
        <w:rPr>
          <w:rFonts w:hint="default" w:ascii="Times New Roman" w:hAnsi="Times New Roman" w:eastAsia="黑体" w:cs="Times New Roman"/>
          <w:sz w:val="32"/>
          <w:szCs w:val="32"/>
        </w:rPr>
        <w:t>应急响应</w:t>
      </w:r>
      <w:bookmarkEnd w:id="49"/>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50" w:name="_Toc107236130"/>
      <w:r>
        <w:rPr>
          <w:rFonts w:hint="default" w:ascii="Times New Roman" w:hAnsi="Times New Roman" w:eastAsia="楷体_GB2312" w:cs="Times New Roman"/>
          <w:sz w:val="32"/>
          <w:szCs w:val="32"/>
        </w:rPr>
        <w:t>5.1先期处置</w:t>
      </w:r>
      <w:bookmarkEnd w:id="50"/>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发生辐射事故的辐射工作单位，应当立即启动辐射事故应急预案，采取有效措施，防止污染扩散，按规定向当地生态环境、公安和卫生健康等部门报告。</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当地相关部门应当立即派员赶赴现场，采取有效措施，控制事故现场，并按要求上报事故情况。辐射事故应急处置相关部门、单位要及时主动提供应急救援有关的基础资料和必要的技术支持，负有监管责任的相关部门提供事故发生前的有关监管检查资料，供实施和调整应急救援和处置方案时参考。</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51" w:name="_Toc107236131"/>
      <w:r>
        <w:rPr>
          <w:rFonts w:hint="default" w:ascii="Times New Roman" w:hAnsi="Times New Roman" w:eastAsia="楷体_GB2312" w:cs="Times New Roman"/>
          <w:sz w:val="32"/>
          <w:szCs w:val="32"/>
        </w:rPr>
        <w:t>5.2应急响应</w:t>
      </w:r>
      <w:bookmarkEnd w:id="51"/>
    </w:p>
    <w:p>
      <w:pPr>
        <w:keepNext w:val="0"/>
        <w:keepLines w:val="0"/>
        <w:pageBreakBefore w:val="0"/>
        <w:widowControl/>
        <w:kinsoku/>
        <w:wordWrap/>
        <w:overflowPunct/>
        <w:topLinePunct w:val="0"/>
        <w:autoSpaceDE/>
        <w:autoSpaceDN/>
        <w:bidi w:val="0"/>
        <w:snapToGrid/>
        <w:spacing w:line="552" w:lineRule="exact"/>
        <w:ind w:firstLine="640" w:firstLineChars="200"/>
        <w:jc w:val="left"/>
        <w:textAlignment w:val="auto"/>
        <w:rPr>
          <w:rFonts w:hint="default"/>
          <w:color w:val="auto"/>
        </w:rPr>
      </w:pPr>
      <w:r>
        <w:rPr>
          <w:rFonts w:hint="default" w:ascii="Times New Roman" w:hAnsi="Times New Roman" w:eastAsia="仿宋_GB2312" w:cs="Times New Roman"/>
          <w:sz w:val="32"/>
          <w:szCs w:val="32"/>
        </w:rPr>
        <w:t>根据辐射事故的性质、严重程度、可控性和影响范围等因素，应急响应分为一级、二级、三级和四级应急响应</w:t>
      </w:r>
      <w:r>
        <w:rPr>
          <w:rFonts w:hint="eastAsia" w:ascii="Times New Roman" w:hAnsi="Times New Roman" w:cs="Times New Roman"/>
          <w:color w:val="auto"/>
          <w:sz w:val="32"/>
          <w:szCs w:val="32"/>
          <w:lang w:eastAsia="zh-CN"/>
        </w:rPr>
        <w:t>，</w:t>
      </w:r>
      <w:r>
        <w:rPr>
          <w:rFonts w:hint="eastAsia" w:ascii="仿宋_GB2312" w:hAnsi="仿宋_GB2312" w:eastAsia="仿宋_GB2312" w:cs="仿宋_GB2312"/>
          <w:color w:val="auto"/>
          <w:kern w:val="0"/>
          <w:sz w:val="32"/>
          <w:szCs w:val="32"/>
        </w:rPr>
        <w:t xml:space="preserve">分别对应特别重大、重大、较大、一般辐射事故。 </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sz w:val="32"/>
          <w:szCs w:val="32"/>
        </w:rPr>
        <w:t>5.2.1发生较大、重大、特别重大辐射事故时，区辐射事故应急指挥部启动先期响应,组织调动辐射事故责任</w:t>
      </w:r>
      <w:r>
        <w:rPr>
          <w:rFonts w:hint="default" w:ascii="Times New Roman" w:hAnsi="Times New Roman" w:eastAsia="仿宋_GB2312" w:cs="Times New Roman"/>
          <w:sz w:val="32"/>
          <w:szCs w:val="32"/>
        </w:rPr>
        <w:t>单位、事发地所在功能区、镇街等做好紧急处置工作，同时上报市辐射事故应急领导机构，按照上级指示组织实施处置和救援工作，并及时报告事态发展和应急处置等情况。</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rPr>
      </w:pPr>
      <w:r>
        <w:rPr>
          <w:rFonts w:hint="default" w:ascii="Times New Roman" w:hAnsi="Times New Roman" w:eastAsia="仿宋_GB2312" w:cs="Times New Roman"/>
          <w:sz w:val="32"/>
          <w:szCs w:val="32"/>
        </w:rPr>
        <w:t>三级响应由区分管领导决定启动，二级响应由管委主要领导</w:t>
      </w:r>
      <w:r>
        <w:rPr>
          <w:rFonts w:hint="default"/>
        </w:rPr>
        <w:t>决定启动，一级响应由</w:t>
      </w:r>
      <w:r>
        <w:rPr>
          <w:rFonts w:hint="eastAsia"/>
          <w:lang w:eastAsia="zh-CN"/>
        </w:rPr>
        <w:t>区党</w:t>
      </w:r>
      <w:r>
        <w:rPr>
          <w:rFonts w:hint="default"/>
        </w:rPr>
        <w:t>工委</w:t>
      </w:r>
      <w:r>
        <w:rPr>
          <w:rFonts w:hint="eastAsia"/>
          <w:lang w:eastAsia="zh-CN"/>
        </w:rPr>
        <w:t>、</w:t>
      </w:r>
      <w:r>
        <w:rPr>
          <w:rFonts w:hint="default"/>
        </w:rPr>
        <w:t>管委决定启动。</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rPr>
        <w:t>5.2.2四级应急响应。发生一般辐射事故时，区辐射事故应急指挥部启动四级应急响应，开展辐射事故应急处置工作。</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sz w:val="32"/>
          <w:szCs w:val="32"/>
        </w:rPr>
      </w:pPr>
      <w:bookmarkStart w:id="52" w:name="_Toc29310643"/>
      <w:r>
        <w:rPr>
          <w:rFonts w:hint="default" w:ascii="Times New Roman" w:hAnsi="Times New Roman" w:eastAsia="仿宋_GB2312" w:cs="Times New Roman"/>
          <w:sz w:val="32"/>
          <w:szCs w:val="32"/>
        </w:rPr>
        <w:t>（1）立即启动应急响应，组织实施应急处置，及时向市辐射事故应急指挥部报告事故情况和救援情况</w:t>
      </w:r>
      <w:bookmarkEnd w:id="52"/>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sz w:val="32"/>
          <w:szCs w:val="32"/>
        </w:rPr>
      </w:pPr>
      <w:bookmarkStart w:id="53" w:name="_Toc29310644"/>
      <w:r>
        <w:rPr>
          <w:rFonts w:hint="default" w:ascii="Times New Roman" w:hAnsi="Times New Roman" w:eastAsia="仿宋_GB2312" w:cs="Times New Roman"/>
          <w:sz w:val="32"/>
          <w:szCs w:val="32"/>
        </w:rPr>
        <w:t>（2）各相关成员单位保持与区辐射事故应急指挥部办公室通信联络，及时掌握事故动态</w:t>
      </w:r>
      <w:bookmarkEnd w:id="53"/>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sz w:val="32"/>
          <w:szCs w:val="32"/>
        </w:rPr>
      </w:pPr>
      <w:bookmarkStart w:id="54" w:name="_Toc29310645"/>
      <w:r>
        <w:rPr>
          <w:rFonts w:hint="default" w:ascii="Times New Roman" w:hAnsi="Times New Roman" w:eastAsia="仿宋_GB2312" w:cs="Times New Roman"/>
          <w:sz w:val="32"/>
          <w:szCs w:val="32"/>
        </w:rPr>
        <w:t>（3）各相关成员单位准备应急救援力量随时待命，必要时，相关应急救援力量和专家赶赴现场参与应急处置和指导。</w:t>
      </w:r>
      <w:bookmarkEnd w:id="54"/>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超出区处置能力时，区辐射事故应急指挥部应及时向市辐射事故应急指挥部请求支援。</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55" w:name="_Toc107236132"/>
      <w:r>
        <w:rPr>
          <w:rFonts w:hint="default" w:ascii="Times New Roman" w:hAnsi="Times New Roman" w:eastAsia="楷体_GB2312" w:cs="Times New Roman"/>
          <w:sz w:val="32"/>
          <w:szCs w:val="32"/>
        </w:rPr>
        <w:t>5.3信息报告</w:t>
      </w:r>
      <w:bookmarkEnd w:id="55"/>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5.3.1报告时限和程序</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color w:val="auto"/>
          <w:lang w:val="en-US"/>
        </w:rPr>
      </w:pPr>
      <w:r>
        <w:rPr>
          <w:rFonts w:hint="default" w:ascii="Times New Roman" w:hAnsi="Times New Roman" w:eastAsia="仿宋_GB2312" w:cs="Times New Roman"/>
          <w:sz w:val="32"/>
          <w:szCs w:val="32"/>
          <w:lang w:val="en-US"/>
        </w:rPr>
        <w:t>辐射工作单位发生辐射事故或判断可能引发辐射事故时，应立即向当地生态环境、公安、卫生健康等部门报告相关信息，并启动本单位辐射事故应急方案，采取必要的先期应急处置措施。事故发生地镇（街道）政府发现或得知辐射事故后，应当立即进行核实，协助</w:t>
      </w:r>
      <w:r>
        <w:rPr>
          <w:rFonts w:hint="default" w:ascii="Times New Roman" w:hAnsi="Times New Roman" w:eastAsia="仿宋_GB2312" w:cs="Times New Roman"/>
          <w:sz w:val="32"/>
          <w:szCs w:val="32"/>
        </w:rPr>
        <w:t>区辐射事故应急指挥部</w:t>
      </w:r>
      <w:r>
        <w:rPr>
          <w:rFonts w:hint="default" w:ascii="Times New Roman" w:hAnsi="Times New Roman" w:eastAsia="仿宋_GB2312" w:cs="Times New Roman"/>
          <w:sz w:val="32"/>
          <w:szCs w:val="32"/>
          <w:lang w:val="en-US"/>
        </w:rPr>
        <w:t>对辐射事故的性质和类别作出初步认定，报告</w:t>
      </w:r>
      <w:r>
        <w:rPr>
          <w:rFonts w:hint="default" w:ascii="Times New Roman" w:hAnsi="Times New Roman" w:eastAsia="仿宋_GB2312" w:cs="Times New Roman"/>
          <w:color w:val="auto"/>
          <w:sz w:val="32"/>
          <w:szCs w:val="32"/>
          <w:lang w:val="en-US"/>
        </w:rPr>
        <w:t>区管委和上一级辐射事故应急机构，并逐级上报；情况紧急时，也可越级上报，但应同时报告市辐射事故应急机构，保障市政府应在2小时内报告省政府时限要求。不得迟报、谎报、瞒报</w:t>
      </w:r>
      <w:r>
        <w:rPr>
          <w:rFonts w:hint="default"/>
          <w:color w:val="auto"/>
          <w:lang w:val="en-US"/>
        </w:rPr>
        <w:t>和漏报。</w:t>
      </w:r>
    </w:p>
    <w:p>
      <w:pPr>
        <w:keepNext w:val="0"/>
        <w:keepLines w:val="0"/>
        <w:pageBreakBefore w:val="0"/>
        <w:kinsoku/>
        <w:wordWrap/>
        <w:overflowPunct/>
        <w:topLinePunct w:val="0"/>
        <w:autoSpaceDE/>
        <w:autoSpaceDN/>
        <w:bidi w:val="0"/>
        <w:snapToGrid/>
        <w:spacing w:line="552" w:lineRule="exact"/>
        <w:textAlignment w:val="auto"/>
        <w:rPr>
          <w:rFonts w:hint="default"/>
          <w:color w:val="auto"/>
          <w:lang w:val="en-US"/>
        </w:rPr>
      </w:pPr>
      <w:r>
        <w:rPr>
          <w:rFonts w:hint="default"/>
          <w:color w:val="auto"/>
          <w:lang w:val="en-US"/>
        </w:rPr>
        <w:t>辐射事故处置过程中事故级别发生变化的，应当按照变化后的级别报告信息。发生无法判明等级的辐射事故，应当按照重大或者特别重大辐射事故的报告程序上报。</w:t>
      </w:r>
    </w:p>
    <w:p>
      <w:pPr>
        <w:pStyle w:val="55"/>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color w:val="auto"/>
          <w:sz w:val="32"/>
          <w:szCs w:val="32"/>
          <w:lang w:val="en-US"/>
        </w:rPr>
      </w:pPr>
      <w:r>
        <w:rPr>
          <w:rFonts w:hint="default" w:ascii="Times New Roman" w:hAnsi="Times New Roman" w:eastAsia="仿宋_GB2312" w:cs="Times New Roman"/>
          <w:color w:val="auto"/>
          <w:sz w:val="32"/>
          <w:szCs w:val="32"/>
          <w:lang w:val="en-US"/>
        </w:rPr>
        <w:t>辐射事故处置情况汇报应由牵头应急响应工作的辐射事故应急指挥部报送区管委并向上一级辐射事故应急指挥部逐级上报。</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5.3.2报告方式与内容</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辐射事故的报告分为初报、续报和处理结果报告。</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初报在发现或者得知辐射事故后首次上报；续报在查清有关基本情况、事故发展情况后随时上报；处理结果报告在辐射事故处完毕后上报。</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eastAsia" w:ascii="仿宋_GB2312" w:hAnsi="仿宋_GB2312" w:eastAsia="仿宋_GB2312" w:cs="仿宋_GB2312"/>
          <w:lang w:eastAsia="zh-CN"/>
        </w:rPr>
      </w:pPr>
      <w:r>
        <w:rPr>
          <w:rFonts w:hint="default" w:ascii="Times New Roman" w:hAnsi="Times New Roman" w:eastAsia="仿宋_GB2312" w:cs="Times New Roman"/>
          <w:sz w:val="32"/>
          <w:szCs w:val="32"/>
        </w:rPr>
        <w:t>初报应当报告辐射事故的发生时间、地点、信息来源、事故起因和性质、基本过程、人员受害情况、事故发展趋势、处置情况、拟采取的措施以及下一步工作建议等初步情况。</w:t>
      </w:r>
      <w:r>
        <w:rPr>
          <w:rFonts w:hint="eastAsia" w:ascii="Times New Roman" w:hAnsi="Times New Roman" w:cs="Times New Roman"/>
          <w:sz w:val="32"/>
          <w:szCs w:val="32"/>
          <w:lang w:eastAsia="zh-CN"/>
        </w:rPr>
        <w:t>（</w:t>
      </w:r>
      <w:r>
        <w:rPr>
          <w:rFonts w:hint="eastAsia" w:ascii="仿宋_GB2312" w:hAnsi="仿宋_GB2312" w:eastAsia="仿宋_GB2312" w:cs="仿宋_GB2312"/>
        </w:rPr>
        <w:t>辐射事故初始报告表详见附件</w:t>
      </w:r>
      <w:r>
        <w:rPr>
          <w:rFonts w:hint="default" w:ascii="Times New Roman" w:hAnsi="Times New Roman" w:eastAsia="仿宋_GB2312" w:cs="Times New Roman"/>
        </w:rPr>
        <w:t>2</w:t>
      </w:r>
      <w:r>
        <w:rPr>
          <w:rFonts w:hint="eastAsia" w:ascii="仿宋_GB2312" w:hAnsi="仿宋_GB2312" w:cs="仿宋_GB2312"/>
          <w:lang w:eastAsia="zh-CN"/>
        </w:rPr>
        <w:t>）</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续报应当在初报的基础上，报告有关处置进展情况，续报可根据事态发展需要多次报告。</w:t>
      </w:r>
      <w:r>
        <w:rPr>
          <w:rFonts w:hint="eastAsia" w:ascii="Times New Roman" w:hAnsi="Times New Roman" w:cs="Times New Roman"/>
          <w:sz w:val="32"/>
          <w:szCs w:val="32"/>
          <w:lang w:eastAsia="zh-CN"/>
        </w:rPr>
        <w:t>（</w:t>
      </w:r>
      <w:r>
        <w:rPr>
          <w:rFonts w:hint="eastAsia" w:ascii="仿宋_GB2312" w:hAnsi="仿宋_GB2312" w:eastAsia="仿宋_GB2312" w:cs="仿宋_GB2312"/>
          <w:sz w:val="32"/>
          <w:szCs w:val="32"/>
        </w:rPr>
        <w:t>辐射事故后续报告表详见附件</w:t>
      </w:r>
      <w:r>
        <w:rPr>
          <w:rFonts w:hint="default" w:ascii="Times New Roman" w:hAnsi="Times New Roman" w:eastAsia="仿宋_GB2312" w:cs="Times New Roman"/>
          <w:sz w:val="32"/>
          <w:szCs w:val="32"/>
        </w:rPr>
        <w:t>3</w:t>
      </w:r>
      <w:r>
        <w:rPr>
          <w:rFonts w:hint="eastAsia" w:ascii="Times New Roman" w:hAnsi="Times New Roman" w:cs="Times New Roman"/>
          <w:sz w:val="32"/>
          <w:szCs w:val="32"/>
          <w:lang w:eastAsia="zh-CN"/>
        </w:rPr>
        <w:t>）</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rPr>
      </w:pPr>
      <w:r>
        <w:rPr>
          <w:rFonts w:hint="default"/>
        </w:rPr>
        <w:t>处理结果报告应当在初报和续报的基础上，报告处理辐射事故的措施、过程和结果，辐射事故潜在或者间接危害以及损失、社会影响、处理后的遗留问题、责任追究等详细情况。</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rPr>
      </w:pPr>
      <w:r>
        <w:rPr>
          <w:rFonts w:hint="default"/>
        </w:rPr>
        <w:t>辐射事故信息应当釆用书面报告；情况紧急时，初报可通过电话报告，但应当及时补充书面报告。书面报告中应当写明辐射事故报告单位、报告签发人、联系人及联系方式等内容，并尽可能提供地图、图片以及相关的多媒体资料。</w:t>
      </w:r>
    </w:p>
    <w:p>
      <w:pPr>
        <w:pStyle w:val="9"/>
        <w:keepNext w:val="0"/>
        <w:keepLines w:val="0"/>
        <w:pageBreakBefore w:val="0"/>
        <w:kinsoku/>
        <w:wordWrap/>
        <w:overflowPunct/>
        <w:topLinePunct w:val="0"/>
        <w:autoSpaceDE/>
        <w:autoSpaceDN/>
        <w:bidi w:val="0"/>
        <w:snapToGrid/>
        <w:spacing w:after="0" w:line="552" w:lineRule="exact"/>
        <w:ind w:left="0" w:leftChars="0" w:firstLine="640" w:firstLineChars="200"/>
        <w:textAlignment w:val="auto"/>
        <w:rPr>
          <w:rFonts w:hint="default" w:ascii="Times New Roman" w:hAnsi="Times New Roman" w:cs="Times New Roman"/>
          <w:color w:val="auto"/>
          <w:szCs w:val="32"/>
        </w:rPr>
      </w:pPr>
      <w:r>
        <w:rPr>
          <w:rFonts w:hint="default" w:ascii="Times New Roman" w:hAnsi="Times New Roman" w:cs="Times New Roman"/>
          <w:color w:val="000000"/>
          <w:szCs w:val="32"/>
        </w:rPr>
        <w:t>接到国家、省、市、区领导批示的，办理情况也应及时向区辐射事故应急指挥部办</w:t>
      </w:r>
      <w:r>
        <w:rPr>
          <w:rFonts w:hint="default" w:ascii="Times New Roman" w:hAnsi="Times New Roman" w:cs="Times New Roman"/>
          <w:color w:val="auto"/>
          <w:szCs w:val="32"/>
        </w:rPr>
        <w:t>公室报告，由指挥部办公室负责汇总，分别向区辐射事故应急指挥部、管委报告。</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5.3.3信息通报</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辐射事故已经或者可能涉及相邻行政区域的，应当及时上报上一级政府及生态环境部门，并通报相邻区域同级政府及生态环境部门。接到通报的政府及生态环境部门应当及时调查了解情况，并按照相关规定报告辐射事故信息。</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56" w:name="_Toc16421"/>
      <w:bookmarkStart w:id="57" w:name="_Toc39669212"/>
      <w:bookmarkStart w:id="58" w:name="_Toc107236133"/>
      <w:r>
        <w:rPr>
          <w:rFonts w:hint="default" w:ascii="Times New Roman" w:hAnsi="Times New Roman" w:eastAsia="楷体_GB2312" w:cs="Times New Roman"/>
          <w:sz w:val="32"/>
          <w:szCs w:val="32"/>
        </w:rPr>
        <w:t>5.4指挥与协调</w:t>
      </w:r>
      <w:bookmarkEnd w:id="56"/>
      <w:bookmarkEnd w:id="57"/>
      <w:bookmarkEnd w:id="58"/>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5.4.1四级应急响应</w:t>
      </w:r>
      <w:r>
        <w:rPr>
          <w:rFonts w:hint="default" w:ascii="Times New Roman" w:hAnsi="Times New Roman" w:eastAsia="仿宋_GB2312" w:cs="Times New Roman"/>
          <w:color w:val="auto"/>
          <w:sz w:val="32"/>
          <w:szCs w:val="32"/>
        </w:rPr>
        <w:t>。管委分</w:t>
      </w:r>
      <w:r>
        <w:rPr>
          <w:rFonts w:hint="default" w:ascii="Times New Roman" w:hAnsi="Times New Roman" w:eastAsia="仿宋_GB2312" w:cs="Times New Roman"/>
          <w:sz w:val="32"/>
          <w:szCs w:val="32"/>
        </w:rPr>
        <w:t>管领导或区辐射事故应急指挥部副总指挥、有关部门主要领导或分管领导赶赴现场指挥协调处置。</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rPr>
        <w:t>对于发生在敏感时间、敏感地点，或涉及敏感群体的一般辐射事故，</w:t>
      </w:r>
      <w:r>
        <w:rPr>
          <w:rFonts w:hint="default" w:ascii="Times New Roman" w:hAnsi="Times New Roman" w:eastAsia="仿宋_GB2312" w:cs="Times New Roman"/>
          <w:color w:val="auto"/>
          <w:sz w:val="32"/>
          <w:szCs w:val="32"/>
        </w:rPr>
        <w:t>管委分管领导应根据需要赶赴现场进行协调处置。</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涉及威海市两个或两个以上区（市）行政区域的一般辐射事故，由市辐射事故应急指挥部指挥协调处置。</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rPr>
      </w:pPr>
      <w:r>
        <w:rPr>
          <w:rFonts w:hint="default" w:ascii="Times New Roman" w:hAnsi="Times New Roman" w:eastAsia="仿宋_GB2312" w:cs="Times New Roman"/>
          <w:color w:val="auto"/>
          <w:sz w:val="32"/>
          <w:szCs w:val="32"/>
        </w:rPr>
        <w:t>5.4.2三级应急响应。管委主要领</w:t>
      </w:r>
      <w:r>
        <w:rPr>
          <w:rFonts w:hint="default" w:ascii="Times New Roman" w:hAnsi="Times New Roman" w:eastAsia="仿宋_GB2312" w:cs="Times New Roman"/>
          <w:sz w:val="32"/>
          <w:szCs w:val="32"/>
        </w:rPr>
        <w:t>导</w:t>
      </w:r>
      <w:r>
        <w:rPr>
          <w:rFonts w:hint="eastAsia" w:ascii="Times New Roman" w:hAnsi="Times New Roman" w:cs="Times New Roman"/>
          <w:sz w:val="32"/>
          <w:szCs w:val="32"/>
          <w:lang w:eastAsia="zh-CN"/>
        </w:rPr>
        <w:t>或</w:t>
      </w:r>
      <w:r>
        <w:rPr>
          <w:rFonts w:hint="default" w:ascii="Times New Roman" w:hAnsi="Times New Roman" w:eastAsia="仿宋_GB2312" w:cs="Times New Roman"/>
          <w:color w:val="auto"/>
          <w:sz w:val="32"/>
          <w:szCs w:val="32"/>
        </w:rPr>
        <w:t>分管领导</w:t>
      </w:r>
      <w:r>
        <w:rPr>
          <w:rFonts w:hint="default" w:ascii="Times New Roman" w:hAnsi="Times New Roman" w:eastAsia="仿宋_GB2312" w:cs="Times New Roman"/>
          <w:sz w:val="32"/>
          <w:szCs w:val="32"/>
        </w:rPr>
        <w:t>、区辐射事故应急指挥部副总指挥、有关成员单位主要</w:t>
      </w:r>
      <w:r>
        <w:rPr>
          <w:rFonts w:hint="default"/>
        </w:rPr>
        <w:t>领导赶赴现场指挥协调处置。</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rPr>
      </w:pPr>
      <w:r>
        <w:rPr>
          <w:rFonts w:hint="default"/>
        </w:rPr>
        <w:t>对于发生在敏感时间、敏感地点，或涉及敏感群体的较大辐射事故，管委主要领导应赶赴现场或到市辐射事故应急指挥部指挥协调先期处置。</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发生较大及以上辐射事故时，市、省、国家成立应急指挥部或派出工作组后，区辐射事故应急指挥部在其指挥下开展处置工作。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rPr>
        <w:t>5.4.3二级应急响</w:t>
      </w:r>
      <w:r>
        <w:rPr>
          <w:rFonts w:hint="default" w:ascii="Times New Roman" w:hAnsi="Times New Roman" w:eastAsia="仿宋_GB2312" w:cs="Times New Roman"/>
          <w:color w:val="auto"/>
          <w:sz w:val="32"/>
          <w:szCs w:val="32"/>
        </w:rPr>
        <w:t>应。管委主要领导、区辐射事故应急指挥部总指挥、有关成员单位主要领导赶赴现场指挥协调处置。</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sz w:val="32"/>
          <w:szCs w:val="32"/>
        </w:rPr>
        <w:t>5.4.4一级应急响应。区</w:t>
      </w:r>
      <w:r>
        <w:rPr>
          <w:rFonts w:hint="eastAsia" w:ascii="Times New Roman" w:hAnsi="Times New Roman" w:cs="Times New Roman"/>
          <w:color w:val="auto"/>
          <w:sz w:val="32"/>
          <w:szCs w:val="32"/>
          <w:lang w:eastAsia="zh-CN"/>
        </w:rPr>
        <w:t>党</w:t>
      </w:r>
      <w:r>
        <w:rPr>
          <w:rFonts w:hint="default" w:ascii="Times New Roman" w:hAnsi="Times New Roman" w:eastAsia="仿宋_GB2312" w:cs="Times New Roman"/>
          <w:color w:val="auto"/>
          <w:sz w:val="32"/>
          <w:szCs w:val="32"/>
        </w:rPr>
        <w:t>工委管委主要</w:t>
      </w:r>
      <w:r>
        <w:rPr>
          <w:rFonts w:hint="default" w:ascii="Times New Roman" w:hAnsi="Times New Roman" w:eastAsia="仿宋_GB2312" w:cs="Times New Roman"/>
          <w:sz w:val="32"/>
          <w:szCs w:val="32"/>
        </w:rPr>
        <w:t>领导、区辐射事故应急指挥部总指挥、有关成员单位主要领导赶赴现场指挥协调先期处置。</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59" w:name="_Toc107236134"/>
      <w:r>
        <w:rPr>
          <w:rFonts w:hint="default" w:ascii="Times New Roman" w:hAnsi="Times New Roman" w:eastAsia="楷体_GB2312" w:cs="Times New Roman"/>
          <w:sz w:val="32"/>
          <w:szCs w:val="32"/>
        </w:rPr>
        <w:t>5.5现场应急处置</w:t>
      </w:r>
      <w:bookmarkEnd w:id="59"/>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辐射事故应急指挥部根据应急处置需求可成立辐射事故现场应急指挥部，负责组织协调辐射事故的现场应急处置工作。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（1）提出现场应急行动原则要求，依法及时公布应对辐射 事故的决定、命令；</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（2）派出有关专家和人员参与现场应急处置指挥工作；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（3）协调各级、各专业应急力量实施应急支援行动；</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（4）协调受威胁的周边地区放射源的监控工作；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rPr>
      </w:pPr>
      <w:r>
        <w:rPr>
          <w:rFonts w:hint="default" w:ascii="Times New Roman" w:hAnsi="Times New Roman" w:eastAsia="仿宋_GB2312" w:cs="Times New Roman"/>
          <w:sz w:val="32"/>
          <w:szCs w:val="32"/>
        </w:rPr>
        <w:t>（5）协调建立现场警戒区和交通管制</w:t>
      </w:r>
      <w:r>
        <w:rPr>
          <w:rFonts w:hint="default"/>
        </w:rPr>
        <w:t>区域，确定重点防护区域；</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（6）根据辐射事故的性质、特点，告知单位和公民应采取的安全防护措施；</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（7）根据事发时当地的气象、地理环境、人员密集度等， 确定受到威胁人员的疏散和撤离的时间和方式；</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（8）及时向辐射事故应急指挥部报告相关信息。</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中，生态环境部门负责现场辐射事故应急监测，事故放射源的安全处置等。公安部门负责现场安保和交通秩序维护，丢失、被盗放射源的追缴等。卫生健康部门负责指导个体防护，发放所需药品，对受辐射事故影响人员实施应急救援，对放射病和受超剂量照射的人员实施现场救护、医学救治及心理干预等。</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60" w:name="_Toc107236135"/>
      <w:r>
        <w:rPr>
          <w:rFonts w:hint="default" w:ascii="Times New Roman" w:hAnsi="Times New Roman" w:eastAsia="楷体_GB2312" w:cs="Times New Roman"/>
          <w:sz w:val="32"/>
          <w:szCs w:val="32"/>
        </w:rPr>
        <w:t>5.6辐射应急监测</w:t>
      </w:r>
      <w:bookmarkEnd w:id="60"/>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配合市辐射事故应急指挥部开展应急监测工作，根据辐射事故性质，制定辐射应急监测方案，确定污染物扩散的范围；根据监测结果，综合分析辐射事故污染变化趋势并通过专家咨询和讨论方式，预测并报告辐射事故发展情况污染物变化情况以及对人群的影响情况，作为辐射事故应急决定的技术支撑。</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61" w:name="_Toc107236136"/>
      <w:r>
        <w:rPr>
          <w:rFonts w:hint="default" w:ascii="Times New Roman" w:hAnsi="Times New Roman" w:eastAsia="楷体_GB2312" w:cs="Times New Roman"/>
          <w:sz w:val="32"/>
          <w:szCs w:val="32"/>
        </w:rPr>
        <w:t>5.7信息发布和舆论引导</w:t>
      </w:r>
      <w:bookmarkEnd w:id="61"/>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辐射事故的信息发布应遵循依法、及时、准确、客观、全面的原则，统一向社会发布信息。</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辐射事故发生后及时向社会发布简要信息，适时发布初步核实情况、事态进展、政府应对措施和公众安全防范措施等，并根据事故处置情况做好后续发布工作。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各级、各有关部门要加强对相关信息的核实、审查和管理，做好舆情分析和舆论引导工作。任何单位和个人不得编造、传播有关辐射事故事态发展或者应急处置工作的虚假信息。</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62" w:name="_Toc107236137"/>
      <w:r>
        <w:rPr>
          <w:rFonts w:hint="default" w:ascii="Times New Roman" w:hAnsi="Times New Roman" w:eastAsia="楷体_GB2312" w:cs="Times New Roman"/>
          <w:sz w:val="32"/>
          <w:szCs w:val="32"/>
        </w:rPr>
        <w:t>5.8安全防护</w:t>
      </w:r>
      <w:bookmarkEnd w:id="62"/>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5.8.1辐射应急人员的安全防护</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根据辐射事故的特点，采取安全防护措施，配备相应的专业防护装备，严格执行辐射应急人员出入事发现场的程序。</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5.8.2受威胁群众的安全防护</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受威胁群众的安全防护由组织处置辐射事故的政府统一规划，设立紧急避险场所。</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事故发生地，应当根据当地的气象、地理环境、人员密集度等，确定受威胁人员疏散的方式，组织群众安全疏散撤离和妥善安置。</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63" w:name="_Toc107236138"/>
      <w:r>
        <w:rPr>
          <w:rFonts w:hint="default" w:ascii="Times New Roman" w:hAnsi="Times New Roman" w:eastAsia="楷体_GB2312" w:cs="Times New Roman"/>
          <w:sz w:val="32"/>
          <w:szCs w:val="32"/>
        </w:rPr>
        <w:t>5.9应急终止</w:t>
      </w:r>
      <w:bookmarkEnd w:id="63"/>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5.9.1应急终止的条件</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符合下列条件之一的，即满足应急终止条件：</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（1）辐射污染源的泄漏或者释放已经降至规定限值以内；</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（2）事故所造成的危害已经被彻底消除，无继发可能；</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（3）事故现场的各种专业应急处置行动已无继续保持的必要。</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5.9.2应急终止的程序</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（1）辐射事改应急指挥部决定终止应急响应，或者由事故责任单位提出并经辐射事故应急指挥部批准；</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（2）辐射事故应急指挥部向组织处置辐射事故的各专业应急救援队伍下达应急终止命令。</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（3）应急状态终止后，辐射事故应急指挥部组成部门应根据当地实际情况，决定是否继续进行环境放射性巡测、采样和事故影响的评价工作，直到自然过程或者其它补救措施无需继续进行为止。</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64" w:name="_Toc107236139"/>
      <w:r>
        <w:rPr>
          <w:rFonts w:hint="default" w:ascii="Times New Roman" w:hAnsi="Times New Roman" w:eastAsia="楷体_GB2312" w:cs="Times New Roman"/>
          <w:sz w:val="32"/>
          <w:szCs w:val="32"/>
        </w:rPr>
        <w:t>5.10总结报告</w:t>
      </w:r>
      <w:bookmarkEnd w:id="64"/>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应急响应终止后，应尽快查明事故原因，并对辐射事故情况和应急期间的主要行动进行总结，于1个月内将总结报告报</w:t>
      </w:r>
      <w:r>
        <w:rPr>
          <w:rFonts w:hint="default" w:ascii="Times New Roman" w:hAnsi="Times New Roman" w:eastAsia="仿宋_GB2312" w:cs="Times New Roman"/>
          <w:color w:val="C0504D"/>
          <w:sz w:val="32"/>
          <w:szCs w:val="32"/>
        </w:rPr>
        <w:t>区管委</w:t>
      </w:r>
      <w:r>
        <w:rPr>
          <w:rFonts w:hint="default" w:ascii="Times New Roman" w:hAnsi="Times New Roman" w:eastAsia="仿宋_GB2312" w:cs="Times New Roman"/>
          <w:sz w:val="32"/>
          <w:szCs w:val="32"/>
        </w:rPr>
        <w:t>和上一级辐射事故应急机构。</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65" w:name="_Toc107236140"/>
      <w:r>
        <w:rPr>
          <w:rFonts w:hint="default" w:ascii="Times New Roman" w:hAnsi="Times New Roman" w:eastAsia="楷体_GB2312" w:cs="Times New Roman"/>
          <w:sz w:val="32"/>
          <w:szCs w:val="32"/>
        </w:rPr>
        <w:t>5.11后续处置</w:t>
      </w:r>
      <w:bookmarkEnd w:id="65"/>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应急响应终止后，区辐射事故应急指挥部应根据承担的应急响应任务，指导有关部门和辐射事故责任单位查清原因，制定完善有关管理制度及预案，防止重复发生类似事故；对事故情况和在应急期采取的主要行动进行综合评估，根据实践经验，及时对辐射事故应急预案及有关实施程序进行修订；评价事故对环境和公众的影响，督促有关责任单位做好场地修复、伤亡人员救助抚恤、应急资金补偿等善后工作。</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66" w:name="_Toc1989"/>
      <w:bookmarkStart w:id="67" w:name="_Toc107236141"/>
      <w:bookmarkStart w:id="68" w:name="_Toc39669220"/>
      <w:r>
        <w:rPr>
          <w:rFonts w:hint="default" w:ascii="Times New Roman" w:hAnsi="Times New Roman" w:eastAsia="楷体_GB2312" w:cs="Times New Roman"/>
          <w:sz w:val="32"/>
          <w:szCs w:val="32"/>
        </w:rPr>
        <w:t>5.12信息发布与舆情管理</w:t>
      </w:r>
      <w:bookmarkEnd w:id="66"/>
      <w:bookmarkEnd w:id="67"/>
      <w:bookmarkEnd w:id="68"/>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辐射事故的信息发布由区辐射事故应急指挥部办公室会同工委宣传部门，报请区辐射事故应急指挥部审查批准后按规定权限统一发布，信息发布应当遵循依法、及时、准确、客观、适时、适度的原则。</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辐射事故发生后应及时向社会发布简要信息，适时发布初步核实情况、事态进展、政府应对措施和公众安全防范措施等，公开渠道包括广播、电视、网络、报纸等，根据事故处置情况做好后续发布工作。</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辐射事故发生后，各有关部门要加强对相关信息的核实、审查和管理，做好舆情分析和舆情管理工作，及时回应群众关切问题。任何单位或个人不得随意编造、传播、发布未经核实或没有事实依据的信息。</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0"/>
        <w:rPr>
          <w:rFonts w:hint="default" w:ascii="Times New Roman" w:hAnsi="Times New Roman" w:eastAsia="黑体" w:cs="Times New Roman"/>
          <w:sz w:val="32"/>
          <w:szCs w:val="32"/>
        </w:rPr>
      </w:pPr>
      <w:bookmarkStart w:id="69" w:name="_Toc107236142"/>
      <w:r>
        <w:rPr>
          <w:rFonts w:hint="default" w:ascii="Times New Roman" w:hAnsi="Times New Roman" w:eastAsia="黑体" w:cs="Times New Roman"/>
          <w:sz w:val="32"/>
          <w:szCs w:val="32"/>
        </w:rPr>
        <w:t>6应急保障</w:t>
      </w:r>
      <w:bookmarkEnd w:id="69"/>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70" w:name="_Toc107236143"/>
      <w:r>
        <w:rPr>
          <w:rFonts w:hint="default" w:ascii="Times New Roman" w:hAnsi="Times New Roman" w:eastAsia="楷体_GB2312" w:cs="Times New Roman"/>
          <w:sz w:val="32"/>
          <w:szCs w:val="32"/>
        </w:rPr>
        <w:t>6.1队伍保障</w:t>
      </w:r>
      <w:bookmarkEnd w:id="70"/>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区辐射事故应急指挥部办公室会同各成员单位做好辐射事故相关应急队伍建设工作，各成员单位根据职责分工建立辐射事故应急救援队伍，Ⅰ、Ⅱ类放射源使用单位建立辐射事故应急处置专业队伍。</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71" w:name="_Toc2030"/>
      <w:bookmarkStart w:id="72" w:name="_Toc39669224"/>
      <w:bookmarkStart w:id="73" w:name="_Toc107236144"/>
      <w:r>
        <w:rPr>
          <w:rFonts w:hint="default" w:ascii="Times New Roman" w:hAnsi="Times New Roman" w:eastAsia="楷体_GB2312" w:cs="Times New Roman"/>
          <w:sz w:val="32"/>
          <w:szCs w:val="32"/>
        </w:rPr>
        <w:t>6.2装备保障</w:t>
      </w:r>
      <w:bookmarkEnd w:id="71"/>
      <w:bookmarkEnd w:id="72"/>
      <w:bookmarkEnd w:id="73"/>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辐射事故应急指挥部办公室会同各成员单位做好辐射事故相关应急物资保障工作，各成员单位应根据担负的辐射事故应急职责，配备相应监测仪器（巡检仪）、处置设备（铅罐、长臂机械手等）和防护装备（铅服、个人剂量报警仪等）等，贮备必要的应急物资。</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74" w:name="_Toc16964"/>
      <w:bookmarkStart w:id="75" w:name="_Toc39669225"/>
      <w:bookmarkStart w:id="76" w:name="_Toc107236145"/>
      <w:r>
        <w:rPr>
          <w:rFonts w:hint="default" w:ascii="Times New Roman" w:hAnsi="Times New Roman" w:eastAsia="楷体_GB2312" w:cs="Times New Roman"/>
          <w:sz w:val="32"/>
          <w:szCs w:val="32"/>
        </w:rPr>
        <w:t>6.3共享资料保障</w:t>
      </w:r>
      <w:bookmarkEnd w:id="74"/>
      <w:bookmarkEnd w:id="75"/>
      <w:bookmarkEnd w:id="76"/>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辐射事故应急指挥部办公室应收集整理本级和上级辐射事故应急领导机构成员名单、电话，辐射事故应急专家咨询机构成员名单、电话、住址，辖区内核技术利用单位、放射性物质运输单位的辐射防护负责人名单、电话等信息资料，在辐射事故应急指挥部各组织机构、成员单位内共享。</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77" w:name="_Toc39669226"/>
      <w:bookmarkStart w:id="78" w:name="_Toc9123"/>
      <w:bookmarkStart w:id="79" w:name="_Toc107236146"/>
      <w:r>
        <w:rPr>
          <w:rFonts w:hint="default" w:ascii="Times New Roman" w:hAnsi="Times New Roman" w:eastAsia="楷体_GB2312" w:cs="Times New Roman"/>
          <w:sz w:val="32"/>
          <w:szCs w:val="32"/>
        </w:rPr>
        <w:t>6.4制度保障</w:t>
      </w:r>
      <w:bookmarkEnd w:id="77"/>
      <w:bookmarkEnd w:id="78"/>
      <w:bookmarkEnd w:id="79"/>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6.4.1值班制度。区辐射事故应急指挥部办公室和各相关单位实行24小时电话值班。各级辐射事故应急组织机构的成员、辐射事故责任单位（含运输单位）的辐射防护负责人应保证通讯设备畅通。</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区辐射事故应急响应期间，区辐射事故应急指挥部办公室实行24小时在岗值班。</w:t>
      </w:r>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6.4.2应急设备物资日常保养制度。各辐射事故应急响应部门应加强对应急仪器设备和物资装备的日常维护、保养和更新，确保能够及时应对可能发生的辐射事故。</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80" w:name="_Toc39669227"/>
      <w:bookmarkStart w:id="81" w:name="_Toc107236147"/>
      <w:bookmarkStart w:id="82" w:name="_Toc4693"/>
      <w:r>
        <w:rPr>
          <w:rFonts w:hint="default" w:ascii="Times New Roman" w:hAnsi="Times New Roman" w:eastAsia="楷体_GB2312" w:cs="Times New Roman"/>
          <w:sz w:val="32"/>
          <w:szCs w:val="32"/>
        </w:rPr>
        <w:t>6.5经费保障</w:t>
      </w:r>
      <w:bookmarkEnd w:id="80"/>
      <w:bookmarkEnd w:id="81"/>
      <w:bookmarkEnd w:id="82"/>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cs="Times New Roman"/>
          <w:color w:val="auto"/>
          <w:sz w:val="32"/>
          <w:szCs w:val="32"/>
          <w:lang w:eastAsia="zh-CN"/>
        </w:rPr>
        <w:t>财政金融局</w:t>
      </w:r>
      <w:r>
        <w:rPr>
          <w:rFonts w:hint="default" w:ascii="Times New Roman" w:hAnsi="Times New Roman" w:eastAsia="仿宋_GB2312" w:cs="Times New Roman"/>
          <w:color w:val="auto"/>
          <w:sz w:val="32"/>
          <w:szCs w:val="32"/>
        </w:rPr>
        <w:t>负责应由管委承担的辐射事故应急响应工作经费，保障应急系统正常运行。</w:t>
      </w:r>
      <w:bookmarkStart w:id="83" w:name="_Toc107236148"/>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7应急能力维持</w:t>
      </w:r>
      <w:bookmarkEnd w:id="83"/>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color w:val="auto"/>
          <w:sz w:val="32"/>
          <w:szCs w:val="32"/>
        </w:rPr>
      </w:pPr>
      <w:bookmarkStart w:id="84" w:name="_Toc107236149"/>
      <w:r>
        <w:rPr>
          <w:rFonts w:hint="default" w:ascii="Times New Roman" w:hAnsi="Times New Roman" w:eastAsia="楷体_GB2312" w:cs="Times New Roman"/>
          <w:color w:val="auto"/>
          <w:sz w:val="32"/>
          <w:szCs w:val="32"/>
        </w:rPr>
        <w:t>7.1应急预案</w:t>
      </w:r>
      <w:bookmarkEnd w:id="84"/>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sz w:val="32"/>
          <w:szCs w:val="32"/>
        </w:rPr>
        <w:t>生态环境分局负责本预案的编制、解释和日常管理，并根据实际情况，适时组织修订完善，报管委批准后实</w:t>
      </w:r>
      <w:r>
        <w:rPr>
          <w:rFonts w:hint="default" w:ascii="Times New Roman" w:hAnsi="Times New Roman" w:eastAsia="仿宋_GB2312" w:cs="Times New Roman"/>
          <w:sz w:val="32"/>
          <w:szCs w:val="32"/>
        </w:rPr>
        <w:t>施，并报上一级生态环境部门备案。</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85" w:name="_Toc107236150"/>
      <w:r>
        <w:rPr>
          <w:rFonts w:hint="default" w:ascii="Times New Roman" w:hAnsi="Times New Roman" w:eastAsia="楷体_GB2312" w:cs="Times New Roman"/>
          <w:sz w:val="32"/>
          <w:szCs w:val="32"/>
        </w:rPr>
        <w:t>7.2培训</w:t>
      </w:r>
      <w:bookmarkEnd w:id="85"/>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生态环境、公安、卫生健康等部门应当根据各自特点，制定应急培训计划，每年对相关人员至少进行一次培训。</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1"/>
        <w:rPr>
          <w:rFonts w:hint="default" w:ascii="Times New Roman" w:hAnsi="Times New Roman" w:eastAsia="楷体_GB2312" w:cs="Times New Roman"/>
          <w:sz w:val="32"/>
          <w:szCs w:val="32"/>
        </w:rPr>
      </w:pPr>
      <w:bookmarkStart w:id="86" w:name="_Toc107236151"/>
      <w:r>
        <w:rPr>
          <w:rFonts w:hint="default" w:ascii="Times New Roman" w:hAnsi="Times New Roman" w:eastAsia="楷体_GB2312" w:cs="Times New Roman"/>
          <w:sz w:val="32"/>
          <w:szCs w:val="32"/>
        </w:rPr>
        <w:t>7.3演练</w:t>
      </w:r>
      <w:bookmarkEnd w:id="86"/>
    </w:p>
    <w:p>
      <w:pPr>
        <w:keepNext w:val="0"/>
        <w:keepLines w:val="0"/>
        <w:pageBreakBefore w:val="0"/>
        <w:kinsoku/>
        <w:wordWrap/>
        <w:overflowPunct/>
        <w:topLinePunct w:val="0"/>
        <w:autoSpaceDE/>
        <w:autoSpaceDN/>
        <w:bidi w:val="0"/>
        <w:adjustRightInd w:val="0"/>
        <w:snapToGrid/>
        <w:spacing w:line="552"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辐射事故应急工作专项小组办公室应根据辐射事故应急预案，</w:t>
      </w:r>
      <w:r>
        <w:rPr>
          <w:rFonts w:hint="eastAsia" w:ascii="Times New Roman" w:hAnsi="Times New Roman" w:cs="Times New Roman"/>
          <w:color w:val="auto"/>
          <w:sz w:val="32"/>
          <w:szCs w:val="32"/>
          <w:lang w:eastAsia="zh-CN"/>
        </w:rPr>
        <w:t>至少</w:t>
      </w:r>
      <w:r>
        <w:rPr>
          <w:rFonts w:hint="default" w:ascii="Times New Roman" w:hAnsi="Times New Roman" w:eastAsia="仿宋_GB2312" w:cs="Times New Roman"/>
          <w:color w:val="auto"/>
          <w:sz w:val="32"/>
          <w:szCs w:val="32"/>
        </w:rPr>
        <w:t>每2年组织一次综合性辐射事故应急演练。演练结束后，应及时总结评估辐射事故应急预案的可行性。必要时，提出对应急预案修改和完善的建议。</w:t>
      </w:r>
    </w:p>
    <w:p>
      <w:pPr>
        <w:keepNext w:val="0"/>
        <w:keepLines w:val="0"/>
        <w:pageBreakBefore w:val="0"/>
        <w:kinsoku/>
        <w:wordWrap/>
        <w:overflowPunct/>
        <w:topLinePunct w:val="0"/>
        <w:autoSpaceDE/>
        <w:autoSpaceDN/>
        <w:bidi w:val="0"/>
        <w:snapToGrid/>
        <w:spacing w:line="552" w:lineRule="exact"/>
        <w:ind w:firstLine="640" w:firstLineChars="200"/>
        <w:textAlignment w:val="auto"/>
        <w:outlineLvl w:val="0"/>
        <w:rPr>
          <w:rFonts w:hint="default" w:ascii="Times New Roman" w:hAnsi="Times New Roman" w:eastAsia="仿宋_GB2312" w:cs="Times New Roman"/>
          <w:color w:val="auto"/>
          <w:sz w:val="32"/>
          <w:szCs w:val="32"/>
        </w:rPr>
      </w:pPr>
      <w:bookmarkStart w:id="87" w:name="_Toc107236152"/>
      <w:r>
        <w:rPr>
          <w:rFonts w:hint="eastAsia" w:ascii="Times New Roman" w:hAnsi="Times New Roman" w:eastAsia="黑体" w:cs="Times New Roman"/>
          <w:color w:val="auto"/>
          <w:sz w:val="32"/>
          <w:szCs w:val="32"/>
          <w:lang w:val="en-US" w:eastAsia="zh-CN"/>
        </w:rPr>
        <w:t>8</w:t>
      </w:r>
      <w:r>
        <w:rPr>
          <w:rFonts w:hint="default" w:ascii="Times New Roman" w:hAnsi="Times New Roman" w:eastAsia="黑体" w:cs="Times New Roman"/>
          <w:color w:val="auto"/>
          <w:sz w:val="32"/>
          <w:szCs w:val="32"/>
        </w:rPr>
        <w:t>附则</w:t>
      </w:r>
      <w:bookmarkEnd w:id="87"/>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eastAsia" w:ascii="Times New Roman" w:hAnsi="Times New Roman" w:cs="Times New Roman"/>
          <w:color w:val="auto"/>
          <w:sz w:val="32"/>
          <w:szCs w:val="32"/>
          <w:lang w:val="en-US" w:eastAsia="zh-CN"/>
        </w:rPr>
        <w:t>8</w:t>
      </w:r>
      <w:r>
        <w:rPr>
          <w:rFonts w:hint="default" w:ascii="Times New Roman" w:hAnsi="Times New Roman" w:eastAsia="仿宋_GB2312" w:cs="Times New Roman"/>
          <w:color w:val="auto"/>
          <w:sz w:val="32"/>
          <w:szCs w:val="32"/>
        </w:rPr>
        <w:t>.1</w:t>
      </w:r>
      <w:r>
        <w:rPr>
          <w:rFonts w:hint="eastAsia" w:ascii="Times New Roman" w:hAnsi="Times New Roman" w:cs="Times New Roman"/>
          <w:color w:val="auto"/>
          <w:sz w:val="32"/>
          <w:szCs w:val="32"/>
          <w:lang w:eastAsia="zh-CN"/>
        </w:rPr>
        <w:t>预案实施时间</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本预案自发布之日起施行。区管委2014年2月12日印发的《辐射事故应急预案》（经技区管发</w:t>
      </w:r>
      <w:r>
        <w:rPr>
          <w:rFonts w:ascii="Times New Roman" w:hAnsi="Times New Roman" w:cs="Times New Roman"/>
        </w:rPr>
        <w:t>〔20</w:t>
      </w:r>
      <w:r>
        <w:rPr>
          <w:rFonts w:hint="eastAsia" w:ascii="Times New Roman" w:hAnsi="Times New Roman" w:cs="Times New Roman"/>
          <w:lang w:val="en-US" w:eastAsia="zh-CN"/>
        </w:rPr>
        <w:t>14</w:t>
      </w:r>
      <w:r>
        <w:rPr>
          <w:rFonts w:ascii="Times New Roman" w:hAnsi="Times New Roman" w:cs="Times New Roman"/>
        </w:rPr>
        <w:t>〕</w:t>
      </w:r>
      <w:r>
        <w:rPr>
          <w:rFonts w:hint="default" w:ascii="Times New Roman" w:hAnsi="Times New Roman" w:eastAsia="仿宋_GB2312" w:cs="Times New Roman"/>
          <w:color w:val="auto"/>
          <w:sz w:val="32"/>
          <w:szCs w:val="32"/>
        </w:rPr>
        <w:t>8号）同时废止。</w:t>
      </w:r>
      <w:r>
        <w:rPr>
          <w:rFonts w:hint="eastAsia" w:ascii="Times New Roman" w:hAnsi="Times New Roman" w:cs="Times New Roman"/>
          <w:color w:val="auto"/>
          <w:sz w:val="32"/>
          <w:szCs w:val="32"/>
          <w:lang w:val="en-US" w:eastAsia="zh-CN"/>
        </w:rPr>
        <w:t xml:space="preserve">                           </w:t>
      </w:r>
    </w:p>
    <w:p>
      <w:pPr>
        <w:pStyle w:val="2"/>
        <w:keepNext w:val="0"/>
        <w:keepLines w:val="0"/>
        <w:pageBreakBefore w:val="0"/>
        <w:kinsoku/>
        <w:wordWrap/>
        <w:overflowPunct/>
        <w:topLinePunct w:val="0"/>
        <w:autoSpaceDE/>
        <w:autoSpaceDN/>
        <w:bidi w:val="0"/>
        <w:snapToGrid/>
        <w:spacing w:line="552" w:lineRule="exact"/>
        <w:ind w:left="0" w:leftChars="0" w:firstLine="0" w:firstLineChars="0"/>
        <w:textAlignment w:val="auto"/>
        <w:rPr>
          <w:rFonts w:hint="default" w:eastAsia="仿宋_GB2312"/>
          <w:color w:val="auto"/>
          <w:lang w:val="en-US" w:eastAsia="zh-CN"/>
        </w:rPr>
      </w:pPr>
      <w:r>
        <w:rPr>
          <w:rFonts w:hint="eastAsia"/>
          <w:color w:val="auto"/>
          <w:lang w:val="en-US" w:eastAsia="zh-CN"/>
        </w:rPr>
        <w:t xml:space="preserve">    </w:t>
      </w:r>
      <w:r>
        <w:rPr>
          <w:rFonts w:hint="eastAsia" w:ascii="Times New Roman" w:hAnsi="Times New Roman" w:cs="Times New Roman"/>
          <w:color w:val="auto"/>
          <w:sz w:val="32"/>
          <w:szCs w:val="32"/>
          <w:lang w:val="en-US" w:eastAsia="zh-CN"/>
        </w:rPr>
        <w:t>8.</w:t>
      </w:r>
      <w:r>
        <w:rPr>
          <w:rFonts w:hint="default" w:ascii="Times New Roman" w:hAnsi="Times New Roman" w:eastAsia="仿宋_GB2312" w:cs="Times New Roman"/>
          <w:color w:val="auto"/>
          <w:sz w:val="32"/>
          <w:szCs w:val="32"/>
        </w:rPr>
        <w:t>2本预案中下列用语的含义：</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cs="Times New Roman"/>
          <w:color w:val="auto"/>
          <w:sz w:val="32"/>
          <w:szCs w:val="32"/>
          <w:lang w:val="en-US" w:eastAsia="zh-CN"/>
        </w:rPr>
        <w:t>8</w:t>
      </w:r>
      <w:r>
        <w:rPr>
          <w:rFonts w:hint="default" w:ascii="Times New Roman" w:hAnsi="Times New Roman" w:eastAsia="仿宋_GB2312" w:cs="Times New Roman"/>
          <w:color w:val="auto"/>
          <w:sz w:val="32"/>
          <w:szCs w:val="32"/>
        </w:rPr>
        <w:t>.2.1核技术利用，是指密封放射源、非密封放射源和射线装置在医疗、工业、农业、地质调查、科学研究和教学等领域中的使用。</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color w:val="auto"/>
        </w:rPr>
      </w:pPr>
      <w:r>
        <w:rPr>
          <w:rFonts w:hint="eastAsia" w:ascii="Times New Roman" w:hAnsi="Times New Roman" w:cs="Times New Roman"/>
          <w:color w:val="auto"/>
          <w:sz w:val="32"/>
          <w:szCs w:val="32"/>
          <w:lang w:val="en-US" w:eastAsia="zh-CN"/>
        </w:rPr>
        <w:t>8</w:t>
      </w:r>
      <w:r>
        <w:rPr>
          <w:rFonts w:hint="default" w:ascii="Times New Roman" w:hAnsi="Times New Roman" w:eastAsia="仿宋_GB2312" w:cs="Times New Roman"/>
          <w:color w:val="auto"/>
          <w:sz w:val="32"/>
          <w:szCs w:val="32"/>
        </w:rPr>
        <w:t>.2.2放射源，</w:t>
      </w:r>
      <w:r>
        <w:rPr>
          <w:rFonts w:hint="default"/>
          <w:color w:val="auto"/>
        </w:rPr>
        <w:t>是指除研究堆和动力堆核燃料循环范畴的材料以外，永久密封在容器中或者有严密包层并呈固态的放射性材料。</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cs="Times New Roman"/>
          <w:color w:val="auto"/>
          <w:sz w:val="32"/>
          <w:szCs w:val="32"/>
          <w:lang w:val="en-US" w:eastAsia="zh-CN"/>
        </w:rPr>
        <w:t>8</w:t>
      </w:r>
      <w:r>
        <w:rPr>
          <w:rFonts w:hint="default" w:ascii="Times New Roman" w:hAnsi="Times New Roman" w:eastAsia="仿宋_GB2312" w:cs="Times New Roman"/>
          <w:color w:val="auto"/>
          <w:sz w:val="32"/>
          <w:szCs w:val="32"/>
        </w:rPr>
        <w:t>.2.3射线装置，是指X线机、加速器、中子发生器以及含放射源的装置。</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cs="Times New Roman"/>
          <w:color w:val="auto"/>
          <w:sz w:val="32"/>
          <w:szCs w:val="32"/>
          <w:lang w:val="en-US" w:eastAsia="zh-CN"/>
        </w:rPr>
        <w:t>8</w:t>
      </w:r>
      <w:r>
        <w:rPr>
          <w:rFonts w:hint="default" w:ascii="Times New Roman" w:hAnsi="Times New Roman" w:eastAsia="仿宋_GB2312" w:cs="Times New Roman"/>
          <w:color w:val="auto"/>
          <w:sz w:val="32"/>
          <w:szCs w:val="32"/>
        </w:rPr>
        <w:t>.2.4放</w:t>
      </w:r>
      <w:r>
        <w:rPr>
          <w:rFonts w:hint="default" w:ascii="Times New Roman" w:hAnsi="Times New Roman" w:eastAsia="仿宋_GB2312" w:cs="Times New Roman"/>
          <w:sz w:val="32"/>
          <w:szCs w:val="32"/>
        </w:rPr>
        <w:t>射性废物，是指含有放射性核素或者被放射性核素污染，其浓度或者比活度大于国家确定的清洁解控水平，预期不再使用的废弃物。</w:t>
      </w:r>
    </w:p>
    <w:p>
      <w:pPr>
        <w:keepNext w:val="0"/>
        <w:keepLines w:val="0"/>
        <w:pageBreakBefore w:val="0"/>
        <w:kinsoku/>
        <w:wordWrap/>
        <w:overflowPunct/>
        <w:topLinePunct w:val="0"/>
        <w:autoSpaceDE/>
        <w:autoSpaceDN/>
        <w:bidi w:val="0"/>
        <w:snapToGrid/>
        <w:spacing w:line="552"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cs="Times New Roman"/>
          <w:color w:val="auto"/>
          <w:sz w:val="32"/>
          <w:szCs w:val="32"/>
          <w:lang w:val="en-US" w:eastAsia="zh-CN"/>
        </w:rPr>
        <w:t>8</w:t>
      </w:r>
      <w:r>
        <w:rPr>
          <w:rFonts w:hint="default" w:ascii="Times New Roman" w:hAnsi="Times New Roman" w:eastAsia="仿宋_GB2312" w:cs="Times New Roman"/>
          <w:color w:val="auto"/>
          <w:sz w:val="32"/>
          <w:szCs w:val="32"/>
        </w:rPr>
        <w:t>.2.5伴生</w:t>
      </w:r>
      <w:r>
        <w:rPr>
          <w:rFonts w:hint="default" w:ascii="Times New Roman" w:hAnsi="Times New Roman" w:eastAsia="仿宋_GB2312" w:cs="Times New Roman"/>
          <w:sz w:val="32"/>
          <w:szCs w:val="32"/>
        </w:rPr>
        <w:t>放射性矿，是指含有较高水平天然放射性核素浓 度的非铀矿（如稀土矿和磷酸盐矿等）。</w:t>
      </w:r>
    </w:p>
    <w:p>
      <w:pPr>
        <w:spacing w:line="580" w:lineRule="exact"/>
        <w:ind w:firstLine="640" w:firstLineChars="200"/>
        <w:outlineLvl w:val="1"/>
        <w:rPr>
          <w:rFonts w:eastAsia="仿宋_GB2312" w:cs="仿宋_GB2312"/>
          <w:sz w:val="32"/>
          <w:szCs w:val="32"/>
        </w:rPr>
      </w:pPr>
    </w:p>
    <w:p>
      <w:pPr>
        <w:spacing w:line="580" w:lineRule="exact"/>
        <w:ind w:firstLine="640" w:firstLineChars="200"/>
        <w:rPr>
          <w:rFonts w:eastAsia="仿宋_GB2312" w:cs="仿宋_GB2312"/>
          <w:sz w:val="32"/>
          <w:szCs w:val="32"/>
        </w:rPr>
        <w:sectPr>
          <w:footerReference r:id="rId7" w:type="default"/>
          <w:pgSz w:w="11906" w:h="16838"/>
          <w:pgMar w:top="2154" w:right="1474" w:bottom="1984" w:left="1587" w:header="851" w:footer="992" w:gutter="0"/>
          <w:pgNumType w:fmt="decimal" w:start="1"/>
          <w:cols w:space="720" w:num="1"/>
          <w:docGrid w:type="lines" w:linePitch="312" w:charSpace="0"/>
        </w:sectPr>
      </w:pPr>
    </w:p>
    <w:p>
      <w:pPr>
        <w:spacing w:line="580" w:lineRule="exact"/>
        <w:jc w:val="left"/>
        <w:outlineLvl w:val="0"/>
        <w:rPr>
          <w:rFonts w:hint="eastAsia" w:ascii="黑体" w:hAnsi="黑体" w:eastAsia="黑体" w:cs="黑体"/>
          <w:sz w:val="32"/>
          <w:szCs w:val="32"/>
        </w:rPr>
      </w:pPr>
      <w:bookmarkStart w:id="88" w:name="_Toc107236153"/>
      <w:r>
        <w:rPr>
          <w:rFonts w:hint="eastAsia" w:ascii="黑体" w:hAnsi="黑体" w:eastAsia="黑体" w:cs="黑体"/>
          <w:sz w:val="32"/>
          <w:szCs w:val="32"/>
        </w:rPr>
        <w:t>附件1</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outlineLvl w:val="0"/>
        <w:rPr>
          <w:rFonts w:hint="eastAsia" w:ascii="黑体" w:hAnsi="黑体" w:eastAsia="黑体" w:cs="黑体"/>
          <w:sz w:val="44"/>
          <w:szCs w:val="44"/>
        </w:rPr>
      </w:pPr>
    </w:p>
    <w:p>
      <w:pPr>
        <w:keepNext w:val="0"/>
        <w:keepLines w:val="0"/>
        <w:pageBreakBefore w:val="0"/>
        <w:widowControl w:val="0"/>
        <w:kinsoku/>
        <w:wordWrap/>
        <w:overflowPunct/>
        <w:topLinePunct w:val="0"/>
        <w:bidi w:val="0"/>
        <w:adjustRightInd/>
        <w:snapToGrid/>
        <w:spacing w:line="576"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辐射事故量化指标</w:t>
      </w:r>
      <w:bookmarkEnd w:id="88"/>
    </w:p>
    <w:p>
      <w:pPr>
        <w:keepNext w:val="0"/>
        <w:keepLines w:val="0"/>
        <w:pageBreakBefore w:val="0"/>
        <w:widowControl w:val="0"/>
        <w:kinsoku/>
        <w:wordWrap/>
        <w:overflowPunct/>
        <w:topLinePunct w:val="0"/>
        <w:autoSpaceDE/>
        <w:autoSpaceDN/>
        <w:bidi w:val="0"/>
        <w:adjustRightInd/>
        <w:snapToGrid/>
        <w:spacing w:line="300" w:lineRule="exact"/>
        <w:ind w:firstLine="640" w:firstLineChars="200"/>
        <w:textAlignment w:val="auto"/>
        <w:rPr>
          <w:rFonts w:eastAsia="仿宋_GB2312"/>
          <w:sz w:val="32"/>
          <w:szCs w:val="32"/>
        </w:rPr>
      </w:pPr>
    </w:p>
    <w:p>
      <w:pPr>
        <w:keepNext w:val="0"/>
        <w:keepLines w:val="0"/>
        <w:pageBreakBefore w:val="0"/>
        <w:widowControl w:val="0"/>
        <w:kinsoku/>
        <w:wordWrap/>
        <w:overflowPunct/>
        <w:topLinePunct w:val="0"/>
        <w:bidi w:val="0"/>
        <w:adjustRightInd/>
        <w:snapToGrid/>
        <w:spacing w:line="576"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一、特别重大辐射事故</w:t>
      </w:r>
    </w:p>
    <w:p>
      <w:pPr>
        <w:keepNext w:val="0"/>
        <w:keepLines w:val="0"/>
        <w:pageBreakBefore w:val="0"/>
        <w:widowControl w:val="0"/>
        <w:tabs>
          <w:tab w:val="left" w:pos="1100"/>
        </w:tabs>
        <w:kinsoku/>
        <w:wordWrap/>
        <w:overflowPunct/>
        <w:topLinePunct w:val="0"/>
        <w:autoSpaceDE w:val="0"/>
        <w:autoSpaceDN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(一)事故造成气态放射性物质的释放量大于等于5.0E+15Bq的</w:t>
      </w:r>
      <w:r>
        <w:rPr>
          <w:rFonts w:hint="default" w:ascii="Times New Roman" w:hAnsi="Times New Roman" w:eastAsia="方正小标宋_GBK" w:cs="Times New Roman"/>
          <w:sz w:val="32"/>
          <w:szCs w:val="32"/>
        </w:rPr>
        <w:t>I-131</w:t>
      </w:r>
      <w:r>
        <w:rPr>
          <w:rFonts w:hint="default" w:ascii="Times New Roman" w:hAnsi="Times New Roman" w:eastAsia="仿宋_GB2312" w:cs="Times New Roman"/>
          <w:sz w:val="32"/>
          <w:szCs w:val="32"/>
        </w:rPr>
        <w:t>当量，或者事故造成大于等于3km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范围的环境剂量率达到或超过0.1mSv/h，或者β/γ沉积水平达到或超过1000Bq/cm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，或者沉积活度达到或超过100Bq/cm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w:t>
      </w:r>
    </w:p>
    <w:p>
      <w:pPr>
        <w:keepNext w:val="0"/>
        <w:keepLines w:val="0"/>
        <w:pageBreakBefore w:val="0"/>
        <w:widowControl w:val="0"/>
        <w:tabs>
          <w:tab w:val="left" w:pos="1100"/>
        </w:tabs>
        <w:kinsoku/>
        <w:wordWrap/>
        <w:overflowPunct/>
        <w:topLinePunct w:val="0"/>
        <w:autoSpaceDE w:val="0"/>
        <w:autoSpaceDN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(二)事故造成水环境污染时液态放射性物质的释放量大于等于1.0E+13Bq的Sr-90当量；</w:t>
      </w:r>
    </w:p>
    <w:p>
      <w:pPr>
        <w:keepNext w:val="0"/>
        <w:keepLines w:val="0"/>
        <w:pageBreakBefore w:val="0"/>
        <w:widowControl w:val="0"/>
        <w:tabs>
          <w:tab w:val="left" w:pos="1100"/>
        </w:tabs>
        <w:kinsoku/>
        <w:wordWrap/>
        <w:overflowPunct/>
        <w:topLinePunct w:val="0"/>
        <w:autoSpaceDE w:val="0"/>
        <w:autoSpaceDN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(三)事故造成地表、土壤污染(未造成地下水污染)时液态放射性物质的释放量大于等于1.0E+14Bq的Sr-90当量；</w:t>
      </w:r>
    </w:p>
    <w:p>
      <w:pPr>
        <w:keepNext w:val="0"/>
        <w:keepLines w:val="0"/>
        <w:pageBreakBefore w:val="0"/>
        <w:widowControl w:val="0"/>
        <w:tabs>
          <w:tab w:val="left" w:pos="1100"/>
        </w:tabs>
        <w:kinsoku/>
        <w:wordWrap/>
        <w:overflowPunct/>
        <w:topLinePunct w:val="0"/>
        <w:autoSpaceDE w:val="0"/>
        <w:autoSpaceDN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(四)在放射性物质运输过程中，发生事故造成大于等于25000D</w:t>
      </w:r>
      <w:r>
        <w:rPr>
          <w:rFonts w:hint="default" w:ascii="Times New Roman" w:hAnsi="Times New Roman" w:eastAsia="仿宋_GB2312" w:cs="Times New Roman"/>
          <w:sz w:val="32"/>
          <w:szCs w:val="32"/>
          <w:vertAlign w:val="subscript"/>
        </w:rPr>
        <w:t>2</w:t>
      </w:r>
      <w:r>
        <w:rPr>
          <w:rFonts w:hint="default" w:ascii="Times New Roman" w:hAnsi="Times New Roman" w:eastAsia="仿宋_GB2312" w:cs="Times New Roman"/>
          <w:sz w:val="32"/>
          <w:szCs w:val="32"/>
        </w:rPr>
        <w:t>的放射性同位素释放。</w:t>
      </w:r>
    </w:p>
    <w:p>
      <w:pPr>
        <w:keepNext w:val="0"/>
        <w:keepLines w:val="0"/>
        <w:pageBreakBefore w:val="0"/>
        <w:widowControl w:val="0"/>
        <w:tabs>
          <w:tab w:val="left" w:pos="1100"/>
        </w:tabs>
        <w:kinsoku/>
        <w:wordWrap/>
        <w:overflowPunct/>
        <w:topLinePunct w:val="0"/>
        <w:autoSpaceDE w:val="0"/>
        <w:autoSpaceDN w:val="0"/>
        <w:bidi w:val="0"/>
        <w:adjustRightInd/>
        <w:snapToGrid/>
        <w:spacing w:line="576"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二、重大辐射事故</w:t>
      </w:r>
    </w:p>
    <w:p>
      <w:pPr>
        <w:keepNext w:val="0"/>
        <w:keepLines w:val="0"/>
        <w:pageBreakBefore w:val="0"/>
        <w:widowControl w:val="0"/>
        <w:tabs>
          <w:tab w:val="left" w:pos="476"/>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(一)事故造成气态放射性物质的释放量大于或等于5.0E+14Bq，且小于5.0E+15Bq的</w:t>
      </w:r>
      <w:r>
        <w:rPr>
          <w:rFonts w:hint="default" w:ascii="Times New Roman" w:hAnsi="Times New Roman" w:eastAsia="方正小标宋_GBK" w:cs="Times New Roman"/>
          <w:sz w:val="32"/>
          <w:szCs w:val="32"/>
        </w:rPr>
        <w:t>I-131</w:t>
      </w:r>
      <w:r>
        <w:rPr>
          <w:rFonts w:hint="default" w:ascii="Times New Roman" w:hAnsi="Times New Roman" w:eastAsia="仿宋_GB2312" w:cs="Times New Roman"/>
          <w:sz w:val="32"/>
          <w:szCs w:val="32"/>
        </w:rPr>
        <w:t>当量，或者事故造成大于等于0.5km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，且小于3km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范围的环境剂量率达到或超过0.1mSv/h，或者β/γ沉积水平达到或超过1000Bq/cm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，或者沉积活度达到或超过100Bq/cm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w:t>
      </w:r>
    </w:p>
    <w:p>
      <w:pPr>
        <w:keepNext w:val="0"/>
        <w:keepLines w:val="0"/>
        <w:pageBreakBefore w:val="0"/>
        <w:widowControl w:val="0"/>
        <w:tabs>
          <w:tab w:val="left" w:pos="476"/>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(二)事故造成水环境污染时液态放射性物质的释放量大于等于1.0E+12Bq，且小于1.0E+13Bq的Sr-90当量；</w:t>
      </w:r>
    </w:p>
    <w:p>
      <w:pPr>
        <w:keepNext w:val="0"/>
        <w:keepLines w:val="0"/>
        <w:pageBreakBefore w:val="0"/>
        <w:widowControl w:val="0"/>
        <w:tabs>
          <w:tab w:val="left" w:pos="476"/>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(三)事故造成地表、土壤污染(未造成地下水污染)时液态放射性物质的释放量大于等于1.0E+13Bq，且小于1.0E+14Bq的Sr-90当量；</w:t>
      </w:r>
    </w:p>
    <w:p>
      <w:pPr>
        <w:keepNext w:val="0"/>
        <w:keepLines w:val="0"/>
        <w:pageBreakBefore w:val="0"/>
        <w:widowControl w:val="0"/>
        <w:tabs>
          <w:tab w:val="left" w:pos="476"/>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(四)在放射性物质运输过程中，发生事故造成大于等于2500D</w:t>
      </w:r>
      <w:r>
        <w:rPr>
          <w:rFonts w:hint="default" w:ascii="Times New Roman" w:hAnsi="Times New Roman" w:eastAsia="仿宋_GB2312" w:cs="Times New Roman"/>
          <w:sz w:val="32"/>
          <w:szCs w:val="32"/>
          <w:vertAlign w:val="subscript"/>
        </w:rPr>
        <w:t>2</w:t>
      </w:r>
      <w:r>
        <w:rPr>
          <w:rFonts w:hint="default" w:ascii="Times New Roman" w:hAnsi="Times New Roman" w:eastAsia="仿宋_GB2312" w:cs="Times New Roman"/>
          <w:sz w:val="32"/>
          <w:szCs w:val="32"/>
        </w:rPr>
        <w:t>，且小于25000D</w:t>
      </w:r>
      <w:r>
        <w:rPr>
          <w:rFonts w:hint="default" w:ascii="Times New Roman" w:hAnsi="Times New Roman" w:eastAsia="仿宋_GB2312" w:cs="Times New Roman"/>
          <w:sz w:val="32"/>
          <w:szCs w:val="32"/>
          <w:vertAlign w:val="subscript"/>
        </w:rPr>
        <w:t>2</w:t>
      </w:r>
      <w:r>
        <w:rPr>
          <w:rFonts w:hint="default" w:ascii="Times New Roman" w:hAnsi="Times New Roman" w:eastAsia="仿宋_GB2312" w:cs="Times New Roman"/>
          <w:sz w:val="32"/>
          <w:szCs w:val="32"/>
        </w:rPr>
        <w:t>的放射性同位素释放。</w:t>
      </w:r>
    </w:p>
    <w:p>
      <w:pPr>
        <w:keepNext w:val="0"/>
        <w:keepLines w:val="0"/>
        <w:pageBreakBefore w:val="0"/>
        <w:widowControl w:val="0"/>
        <w:tabs>
          <w:tab w:val="left" w:pos="476"/>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三、较大辐射事故</w:t>
      </w:r>
    </w:p>
    <w:p>
      <w:pPr>
        <w:keepNext w:val="0"/>
        <w:keepLines w:val="0"/>
        <w:pageBreakBefore w:val="0"/>
        <w:widowControl w:val="0"/>
        <w:tabs>
          <w:tab w:val="left" w:pos="0"/>
          <w:tab w:val="left" w:pos="896"/>
          <w:tab w:val="left" w:pos="1050"/>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(一)事故造成气态放射性物质的释放量大于等于5.0E+11Bq，且小于5.0E+14Bq的</w:t>
      </w:r>
      <w:r>
        <w:rPr>
          <w:rFonts w:hint="default" w:ascii="Times New Roman" w:hAnsi="Times New Roman" w:eastAsia="方正小标宋_GBK" w:cs="Times New Roman"/>
          <w:sz w:val="32"/>
          <w:szCs w:val="32"/>
        </w:rPr>
        <w:t>I-131</w:t>
      </w:r>
      <w:r>
        <w:rPr>
          <w:rFonts w:hint="default" w:ascii="Times New Roman" w:hAnsi="Times New Roman" w:eastAsia="仿宋_GB2312" w:cs="Times New Roman"/>
          <w:sz w:val="32"/>
          <w:szCs w:val="32"/>
        </w:rPr>
        <w:t>当量，或者事故造成大于等于500m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，且小于0.5km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范围的环境剂量率达到或超过0.1mSv/h，或者β/γ沉积水平达到或超过1000Bq/cm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，或者沉积活度达到或超过100Bq/cm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w:t>
      </w:r>
    </w:p>
    <w:p>
      <w:pPr>
        <w:keepNext w:val="0"/>
        <w:keepLines w:val="0"/>
        <w:pageBreakBefore w:val="0"/>
        <w:widowControl w:val="0"/>
        <w:tabs>
          <w:tab w:val="left" w:pos="0"/>
          <w:tab w:val="left" w:pos="896"/>
          <w:tab w:val="left" w:pos="1050"/>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(二)事故造成水环境污染时液态放射性物质的释放量大于等于1.0E+11Bq，且小于1.0E+12Bq的Sr-90当量；</w:t>
      </w:r>
    </w:p>
    <w:p>
      <w:pPr>
        <w:keepNext w:val="0"/>
        <w:keepLines w:val="0"/>
        <w:pageBreakBefore w:val="0"/>
        <w:widowControl w:val="0"/>
        <w:tabs>
          <w:tab w:val="left" w:pos="0"/>
          <w:tab w:val="left" w:pos="896"/>
          <w:tab w:val="left" w:pos="1050"/>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(三)事</w:t>
      </w:r>
      <w:r>
        <w:rPr>
          <w:rFonts w:hint="default" w:ascii="Times New Roman" w:hAnsi="Times New Roman" w:eastAsia="仿宋_GB2312" w:cs="Times New Roman"/>
          <w:spacing w:val="-4"/>
          <w:sz w:val="32"/>
          <w:szCs w:val="32"/>
        </w:rPr>
        <w:t>故造成地表、土壤污染(未造成地下水污染)时液态放射性物质的释放量大于等于1.0E+12Bq，且小于1.0E+13Bq的Sr-90当量</w:t>
      </w:r>
      <w:r>
        <w:rPr>
          <w:rFonts w:hint="default" w:ascii="Times New Roman" w:hAnsi="Times New Roman" w:eastAsia="仿宋_GB2312" w:cs="Times New Roman"/>
          <w:sz w:val="32"/>
          <w:szCs w:val="32"/>
        </w:rPr>
        <w:t>；</w:t>
      </w:r>
    </w:p>
    <w:p>
      <w:pPr>
        <w:keepNext w:val="0"/>
        <w:keepLines w:val="0"/>
        <w:pageBreakBefore w:val="0"/>
        <w:widowControl w:val="0"/>
        <w:tabs>
          <w:tab w:val="left" w:pos="476"/>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(四)在放射性物质运输过程中，发生事故造成大于等于2.5D</w:t>
      </w:r>
      <w:r>
        <w:rPr>
          <w:rFonts w:hint="default" w:ascii="Times New Roman" w:hAnsi="Times New Roman" w:eastAsia="仿宋_GB2312" w:cs="Times New Roman"/>
          <w:sz w:val="32"/>
          <w:szCs w:val="32"/>
          <w:vertAlign w:val="subscript"/>
        </w:rPr>
        <w:t>2</w:t>
      </w:r>
      <w:r>
        <w:rPr>
          <w:rFonts w:hint="default" w:ascii="Times New Roman" w:hAnsi="Times New Roman" w:eastAsia="仿宋_GB2312" w:cs="Times New Roman"/>
          <w:sz w:val="32"/>
          <w:szCs w:val="32"/>
        </w:rPr>
        <w:t>，且小于2500D</w:t>
      </w:r>
      <w:r>
        <w:rPr>
          <w:rFonts w:hint="default" w:ascii="Times New Roman" w:hAnsi="Times New Roman" w:eastAsia="仿宋_GB2312" w:cs="Times New Roman"/>
          <w:sz w:val="32"/>
          <w:szCs w:val="32"/>
          <w:vertAlign w:val="subscript"/>
        </w:rPr>
        <w:t>2</w:t>
      </w:r>
      <w:r>
        <w:rPr>
          <w:rFonts w:hint="default" w:ascii="Times New Roman" w:hAnsi="Times New Roman" w:eastAsia="仿宋_GB2312" w:cs="Times New Roman"/>
          <w:sz w:val="32"/>
          <w:szCs w:val="32"/>
        </w:rPr>
        <w:t>的放射性同位素释放。</w:t>
      </w:r>
    </w:p>
    <w:p>
      <w:pPr>
        <w:keepNext w:val="0"/>
        <w:keepLines w:val="0"/>
        <w:pageBreakBefore w:val="0"/>
        <w:widowControl w:val="0"/>
        <w:tabs>
          <w:tab w:val="left" w:pos="476"/>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四、一般辐射事故</w:t>
      </w:r>
    </w:p>
    <w:p>
      <w:pPr>
        <w:keepNext w:val="0"/>
        <w:keepLines w:val="0"/>
        <w:pageBreakBefore w:val="0"/>
        <w:widowControl w:val="0"/>
        <w:tabs>
          <w:tab w:val="left" w:pos="0"/>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(一)事故造成气态放射性物质的释放量小于5.0E+11Bq的</w:t>
      </w:r>
      <w:r>
        <w:rPr>
          <w:rFonts w:hint="default" w:ascii="Times New Roman" w:hAnsi="Times New Roman" w:eastAsia="方正小标宋_GBK" w:cs="Times New Roman"/>
          <w:sz w:val="32"/>
          <w:szCs w:val="32"/>
        </w:rPr>
        <w:t>I-131</w:t>
      </w:r>
      <w:r>
        <w:rPr>
          <w:rFonts w:hint="default" w:ascii="Times New Roman" w:hAnsi="Times New Roman" w:eastAsia="仿宋_GB2312" w:cs="Times New Roman"/>
          <w:sz w:val="32"/>
          <w:szCs w:val="32"/>
        </w:rPr>
        <w:t>当量，或者事故造成小于500m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范围的环境剂量率达到或超过0.1mSv/h，或者β/γ沉积水平达到或超过1000Bq/cm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，或者沉积活度达到或超过100Bq/cm</w:t>
      </w:r>
      <w:r>
        <w:rPr>
          <w:rFonts w:hint="default" w:ascii="Times New Roman" w:hAnsi="Times New Roman" w:eastAsia="仿宋_GB2312" w:cs="Times New Roman"/>
          <w:sz w:val="32"/>
          <w:szCs w:val="32"/>
          <w:vertAlign w:val="superscript"/>
        </w:rPr>
        <w:t>2</w:t>
      </w:r>
      <w:r>
        <w:rPr>
          <w:rFonts w:hint="default" w:ascii="Times New Roman" w:hAnsi="Times New Roman" w:eastAsia="仿宋_GB2312" w:cs="Times New Roman"/>
          <w:sz w:val="32"/>
          <w:szCs w:val="32"/>
        </w:rPr>
        <w:t>；</w:t>
      </w:r>
    </w:p>
    <w:p>
      <w:pPr>
        <w:keepNext w:val="0"/>
        <w:keepLines w:val="0"/>
        <w:pageBreakBefore w:val="0"/>
        <w:widowControl w:val="0"/>
        <w:tabs>
          <w:tab w:val="left" w:pos="0"/>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(二)事故造成水环境污染时液态放射物质的释放量小于1.0E+11Bq的Sr-90当量；</w:t>
      </w:r>
    </w:p>
    <w:p>
      <w:pPr>
        <w:keepNext w:val="0"/>
        <w:keepLines w:val="0"/>
        <w:pageBreakBefore w:val="0"/>
        <w:widowControl w:val="0"/>
        <w:tabs>
          <w:tab w:val="left" w:pos="0"/>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(三)事故造成地表、土壤污染(未造成地下水污染)时液态放射性物质的释放量小于1.0E+12Bq的Sr-90当量；</w:t>
      </w:r>
    </w:p>
    <w:p>
      <w:pPr>
        <w:keepNext w:val="0"/>
        <w:keepLines w:val="0"/>
        <w:pageBreakBefore w:val="0"/>
        <w:widowControl w:val="0"/>
        <w:tabs>
          <w:tab w:val="left" w:pos="0"/>
          <w:tab w:val="left" w:pos="1064"/>
        </w:tabs>
        <w:kinsoku/>
        <w:wordWrap/>
        <w:overflowPunct/>
        <w:topLinePunct w:val="0"/>
        <w:bidi w:val="0"/>
        <w:adjustRightInd/>
        <w:snapToGrid/>
        <w:spacing w:line="576"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(四)在放射性物质运输过程中，发生事故造成小于2.5D</w:t>
      </w:r>
      <w:r>
        <w:rPr>
          <w:rFonts w:hint="default" w:ascii="Times New Roman" w:hAnsi="Times New Roman" w:eastAsia="仿宋_GB2312" w:cs="Times New Roman"/>
          <w:sz w:val="32"/>
          <w:szCs w:val="32"/>
          <w:vertAlign w:val="subscript"/>
        </w:rPr>
        <w:t>2</w:t>
      </w:r>
      <w:r>
        <w:rPr>
          <w:rFonts w:hint="default" w:ascii="Times New Roman" w:hAnsi="Times New Roman" w:eastAsia="仿宋_GB2312" w:cs="Times New Roman"/>
          <w:sz w:val="32"/>
          <w:szCs w:val="32"/>
        </w:rPr>
        <w:t>的放射性同位素释放。</w:t>
      </w:r>
    </w:p>
    <w:p>
      <w:pPr>
        <w:pStyle w:val="2"/>
        <w:keepNext w:val="0"/>
        <w:keepLines w:val="0"/>
        <w:pageBreakBefore w:val="0"/>
        <w:widowControl w:val="0"/>
        <w:kinsoku/>
        <w:wordWrap/>
        <w:overflowPunct/>
        <w:topLinePunct w:val="0"/>
        <w:autoSpaceDE/>
        <w:autoSpaceDN/>
        <w:bidi w:val="0"/>
        <w:adjustRightInd/>
        <w:snapToGrid/>
        <w:spacing w:line="300" w:lineRule="exact"/>
        <w:ind w:left="3362"/>
        <w:textAlignment w:val="auto"/>
        <w:rPr>
          <w:rFonts w:hint="default"/>
        </w:rPr>
      </w:pPr>
    </w:p>
    <w:p>
      <w:pPr>
        <w:tabs>
          <w:tab w:val="left" w:pos="0"/>
          <w:tab w:val="left" w:pos="1064"/>
        </w:tabs>
        <w:spacing w:line="58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表1 释放到大气中的同位素相对于I-131的放射性当量</w:t>
      </w:r>
    </w:p>
    <w:p>
      <w:pPr>
        <w:pStyle w:val="2"/>
        <w:keepNext w:val="0"/>
        <w:keepLines w:val="0"/>
        <w:pageBreakBefore w:val="0"/>
        <w:widowControl w:val="0"/>
        <w:kinsoku/>
        <w:wordWrap/>
        <w:overflowPunct/>
        <w:topLinePunct w:val="0"/>
        <w:autoSpaceDE/>
        <w:autoSpaceDN/>
        <w:bidi w:val="0"/>
        <w:adjustRightInd/>
        <w:snapToGrid/>
        <w:spacing w:line="280" w:lineRule="exact"/>
        <w:ind w:left="3362"/>
        <w:textAlignment w:val="auto"/>
        <w:rPr>
          <w:rFonts w:hint="default" w:ascii="Times New Roman" w:hAnsi="Times New Roman" w:cs="Times New Roman"/>
        </w:rPr>
      </w:pPr>
    </w:p>
    <w:tbl>
      <w:tblPr>
        <w:tblStyle w:val="25"/>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86"/>
        <w:gridCol w:w="1322"/>
        <w:gridCol w:w="1678"/>
        <w:gridCol w:w="1145"/>
        <w:gridCol w:w="1693"/>
        <w:gridCol w:w="163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8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tabs>
                <w:tab w:val="left" w:pos="0"/>
                <w:tab w:val="left" w:pos="1064"/>
              </w:tabs>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0"/>
              </w:rPr>
            </w:pPr>
            <w:r>
              <w:rPr>
                <w:rFonts w:hint="default" w:ascii="Times New Roman" w:hAnsi="Times New Roman" w:eastAsia="黑体" w:cs="Times New Roman"/>
                <w:sz w:val="28"/>
                <w:szCs w:val="20"/>
              </w:rPr>
              <w:t>同位素</w:t>
            </w:r>
          </w:p>
        </w:tc>
        <w:tc>
          <w:tcPr>
            <w:tcW w:w="72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tabs>
                <w:tab w:val="left" w:pos="0"/>
                <w:tab w:val="left" w:pos="1064"/>
              </w:tabs>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0"/>
              </w:rPr>
            </w:pPr>
            <w:r>
              <w:rPr>
                <w:rFonts w:hint="default" w:ascii="Times New Roman" w:hAnsi="Times New Roman" w:eastAsia="黑体" w:cs="Times New Roman"/>
                <w:sz w:val="28"/>
                <w:szCs w:val="20"/>
              </w:rPr>
              <w:t>乘数</w:t>
            </w:r>
          </w:p>
        </w:tc>
        <w:tc>
          <w:tcPr>
            <w:tcW w:w="9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tabs>
                <w:tab w:val="left" w:pos="0"/>
                <w:tab w:val="left" w:pos="1064"/>
              </w:tabs>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0"/>
              </w:rPr>
            </w:pPr>
            <w:r>
              <w:rPr>
                <w:rFonts w:hint="default" w:ascii="Times New Roman" w:hAnsi="Times New Roman" w:eastAsia="黑体" w:cs="Times New Roman"/>
                <w:sz w:val="28"/>
                <w:szCs w:val="20"/>
              </w:rPr>
              <w:t>同位素</w:t>
            </w:r>
          </w:p>
        </w:tc>
        <w:tc>
          <w:tcPr>
            <w:tcW w:w="63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tabs>
                <w:tab w:val="left" w:pos="0"/>
                <w:tab w:val="left" w:pos="1064"/>
              </w:tabs>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0"/>
              </w:rPr>
            </w:pPr>
            <w:r>
              <w:rPr>
                <w:rFonts w:hint="default" w:ascii="Times New Roman" w:hAnsi="Times New Roman" w:eastAsia="黑体" w:cs="Times New Roman"/>
                <w:sz w:val="28"/>
                <w:szCs w:val="20"/>
              </w:rPr>
              <w:t>乘数</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tabs>
                <w:tab w:val="left" w:pos="0"/>
                <w:tab w:val="left" w:pos="1064"/>
              </w:tabs>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0"/>
              </w:rPr>
            </w:pPr>
            <w:r>
              <w:rPr>
                <w:rFonts w:hint="default" w:ascii="Times New Roman" w:hAnsi="Times New Roman" w:eastAsia="黑体" w:cs="Times New Roman"/>
                <w:sz w:val="28"/>
                <w:szCs w:val="20"/>
              </w:rPr>
              <w:t>同位素</w:t>
            </w:r>
          </w:p>
        </w:tc>
        <w:tc>
          <w:tcPr>
            <w:tcW w:w="9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tabs>
                <w:tab w:val="left" w:pos="0"/>
                <w:tab w:val="left" w:pos="1064"/>
              </w:tabs>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0"/>
              </w:rPr>
            </w:pPr>
            <w:r>
              <w:rPr>
                <w:rFonts w:hint="default" w:ascii="Times New Roman" w:hAnsi="Times New Roman" w:eastAsia="黑体" w:cs="Times New Roman"/>
                <w:sz w:val="28"/>
                <w:szCs w:val="20"/>
              </w:rPr>
              <w:t>乘数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Am-241</w:t>
            </w:r>
          </w:p>
        </w:tc>
        <w:tc>
          <w:tcPr>
            <w:tcW w:w="72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8000</w:t>
            </w:r>
          </w:p>
        </w:tc>
        <w:tc>
          <w:tcPr>
            <w:tcW w:w="92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Mo-99</w:t>
            </w:r>
          </w:p>
        </w:tc>
        <w:tc>
          <w:tcPr>
            <w:tcW w:w="63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0.08</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U-235(F)a</w:t>
            </w:r>
          </w:p>
        </w:tc>
        <w:tc>
          <w:tcPr>
            <w:tcW w:w="90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Co-60</w:t>
            </w:r>
          </w:p>
        </w:tc>
        <w:tc>
          <w:tcPr>
            <w:tcW w:w="72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50</w:t>
            </w:r>
          </w:p>
        </w:tc>
        <w:tc>
          <w:tcPr>
            <w:tcW w:w="92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P-32</w:t>
            </w:r>
          </w:p>
        </w:tc>
        <w:tc>
          <w:tcPr>
            <w:tcW w:w="63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0.2</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U-238(S)a</w:t>
            </w:r>
          </w:p>
        </w:tc>
        <w:tc>
          <w:tcPr>
            <w:tcW w:w="90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900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Cs-134</w:t>
            </w:r>
          </w:p>
        </w:tc>
        <w:tc>
          <w:tcPr>
            <w:tcW w:w="72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3</w:t>
            </w:r>
          </w:p>
        </w:tc>
        <w:tc>
          <w:tcPr>
            <w:tcW w:w="92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Pu-239</w:t>
            </w:r>
          </w:p>
        </w:tc>
        <w:tc>
          <w:tcPr>
            <w:tcW w:w="63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10000</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U-238(M)a</w:t>
            </w:r>
          </w:p>
        </w:tc>
        <w:tc>
          <w:tcPr>
            <w:tcW w:w="90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Cs-137</w:t>
            </w:r>
          </w:p>
        </w:tc>
        <w:tc>
          <w:tcPr>
            <w:tcW w:w="72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40</w:t>
            </w:r>
          </w:p>
        </w:tc>
        <w:tc>
          <w:tcPr>
            <w:tcW w:w="92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Ru-106</w:t>
            </w:r>
          </w:p>
        </w:tc>
        <w:tc>
          <w:tcPr>
            <w:tcW w:w="63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6</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U-238(F)a</w:t>
            </w:r>
          </w:p>
        </w:tc>
        <w:tc>
          <w:tcPr>
            <w:tcW w:w="90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H-3</w:t>
            </w:r>
          </w:p>
        </w:tc>
        <w:tc>
          <w:tcPr>
            <w:tcW w:w="72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0.02</w:t>
            </w:r>
          </w:p>
        </w:tc>
        <w:tc>
          <w:tcPr>
            <w:tcW w:w="92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Sr-90</w:t>
            </w:r>
          </w:p>
        </w:tc>
        <w:tc>
          <w:tcPr>
            <w:tcW w:w="63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20</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天然铀</w:t>
            </w:r>
          </w:p>
        </w:tc>
        <w:tc>
          <w:tcPr>
            <w:tcW w:w="90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1000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3" w:hRule="atLeast"/>
          <w:jc w:val="center"/>
        </w:trPr>
        <w:tc>
          <w:tcPr>
            <w:tcW w:w="8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I-131</w:t>
            </w:r>
          </w:p>
        </w:tc>
        <w:tc>
          <w:tcPr>
            <w:tcW w:w="72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1</w:t>
            </w:r>
          </w:p>
        </w:tc>
        <w:tc>
          <w:tcPr>
            <w:tcW w:w="92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Te-132</w:t>
            </w:r>
          </w:p>
        </w:tc>
        <w:tc>
          <w:tcPr>
            <w:tcW w:w="63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0.3</w:t>
            </w:r>
          </w:p>
        </w:tc>
        <w:tc>
          <w:tcPr>
            <w:tcW w:w="934" w:type="pct"/>
            <w:vMerge w:val="restar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惰性气体</w:t>
            </w:r>
          </w:p>
        </w:tc>
        <w:tc>
          <w:tcPr>
            <w:tcW w:w="903" w:type="pct"/>
            <w:vMerge w:val="restar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可忽略不计</w:t>
            </w:r>
          </w:p>
          <w:p>
            <w:pPr>
              <w:jc w:val="center"/>
              <w:rPr>
                <w:rFonts w:hint="default" w:ascii="Times New Roman" w:hAnsi="Times New Roman" w:cs="Times New Roman"/>
                <w:sz w:val="28"/>
                <w:szCs w:val="28"/>
              </w:rPr>
            </w:pPr>
            <w:r>
              <w:rPr>
                <w:rFonts w:hint="default" w:ascii="Times New Roman" w:hAnsi="Times New Roman" w:cs="Times New Roman"/>
                <w:sz w:val="28"/>
                <w:szCs w:val="28"/>
              </w:rPr>
              <w:t>(实际为零)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jc w:val="center"/>
        </w:trPr>
        <w:tc>
          <w:tcPr>
            <w:tcW w:w="8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Ir-192</w:t>
            </w:r>
          </w:p>
        </w:tc>
        <w:tc>
          <w:tcPr>
            <w:tcW w:w="72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2</w:t>
            </w:r>
          </w:p>
        </w:tc>
        <w:tc>
          <w:tcPr>
            <w:tcW w:w="92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U-235(S)a</w:t>
            </w:r>
          </w:p>
        </w:tc>
        <w:tc>
          <w:tcPr>
            <w:tcW w:w="63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1000</w:t>
            </w:r>
          </w:p>
        </w:tc>
        <w:tc>
          <w:tcPr>
            <w:tcW w:w="93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p>
        </w:tc>
        <w:tc>
          <w:tcPr>
            <w:tcW w:w="90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7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Mn-54</w:t>
            </w:r>
          </w:p>
        </w:tc>
        <w:tc>
          <w:tcPr>
            <w:tcW w:w="72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4</w:t>
            </w:r>
          </w:p>
        </w:tc>
        <w:tc>
          <w:tcPr>
            <w:tcW w:w="92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U-235(M)a</w:t>
            </w:r>
          </w:p>
        </w:tc>
        <w:tc>
          <w:tcPr>
            <w:tcW w:w="63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r>
              <w:rPr>
                <w:rFonts w:hint="default" w:ascii="Times New Roman" w:hAnsi="Times New Roman" w:cs="Times New Roman"/>
                <w:sz w:val="28"/>
                <w:szCs w:val="28"/>
              </w:rPr>
              <w:t>600</w:t>
            </w:r>
          </w:p>
        </w:tc>
        <w:tc>
          <w:tcPr>
            <w:tcW w:w="93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p>
        </w:tc>
        <w:tc>
          <w:tcPr>
            <w:tcW w:w="90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cs="Times New Roman"/>
                <w:sz w:val="28"/>
                <w:szCs w:val="28"/>
              </w:rPr>
            </w:pPr>
          </w:p>
        </w:tc>
      </w:tr>
    </w:tbl>
    <w:p>
      <w:pPr>
        <w:tabs>
          <w:tab w:val="left" w:pos="0"/>
          <w:tab w:val="left" w:pos="1064"/>
        </w:tabs>
        <w:spacing w:line="580" w:lineRule="exact"/>
        <w:rPr>
          <w:rFonts w:hint="default" w:ascii="Times New Roman" w:hAnsi="Times New Roman" w:eastAsia="仿宋_GB2312" w:cs="Times New Roman"/>
          <w:sz w:val="28"/>
          <w:szCs w:val="20"/>
        </w:rPr>
      </w:pPr>
      <w:r>
        <w:rPr>
          <w:rFonts w:hint="default" w:ascii="Times New Roman" w:hAnsi="Times New Roman" w:eastAsia="仿宋_GB2312" w:cs="Times New Roman"/>
          <w:sz w:val="28"/>
          <w:szCs w:val="20"/>
        </w:rPr>
        <w:t>注：肺吸收类别：S-慢；M-中等；F-快。如果不确定，使用最保守值。</w:t>
      </w:r>
    </w:p>
    <w:p>
      <w:pPr>
        <w:tabs>
          <w:tab w:val="left" w:pos="0"/>
          <w:tab w:val="left" w:pos="1064"/>
        </w:tabs>
        <w:spacing w:line="580" w:lineRule="exact"/>
        <w:ind w:firstLine="480" w:firstLineChars="200"/>
        <w:rPr>
          <w:rFonts w:hint="default" w:ascii="Times New Roman" w:hAnsi="Times New Roman" w:eastAsia="黑体" w:cs="Times New Roman"/>
          <w:sz w:val="24"/>
          <w:szCs w:val="24"/>
        </w:rPr>
      </w:pPr>
    </w:p>
    <w:p>
      <w:pPr>
        <w:pStyle w:val="2"/>
        <w:rPr>
          <w:rFonts w:hint="default" w:ascii="Times New Roman" w:hAnsi="Times New Roman" w:cs="Times New Roman"/>
        </w:rPr>
      </w:pPr>
    </w:p>
    <w:p>
      <w:pPr>
        <w:tabs>
          <w:tab w:val="left" w:pos="0"/>
          <w:tab w:val="left" w:pos="1064"/>
        </w:tabs>
        <w:spacing w:line="58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表2 各个核素的Sr-90当量计算因子</w:t>
      </w:r>
    </w:p>
    <w:p>
      <w:pPr>
        <w:pStyle w:val="2"/>
        <w:keepNext w:val="0"/>
        <w:keepLines w:val="0"/>
        <w:pageBreakBefore w:val="0"/>
        <w:widowControl w:val="0"/>
        <w:kinsoku/>
        <w:wordWrap/>
        <w:overflowPunct/>
        <w:topLinePunct w:val="0"/>
        <w:autoSpaceDE/>
        <w:autoSpaceDN/>
        <w:bidi w:val="0"/>
        <w:adjustRightInd/>
        <w:snapToGrid/>
        <w:spacing w:line="80" w:lineRule="exact"/>
        <w:ind w:left="3362"/>
        <w:textAlignment w:val="auto"/>
        <w:rPr>
          <w:rFonts w:hint="default" w:ascii="Times New Roman" w:hAnsi="Times New Roman" w:cs="Times New Roman"/>
        </w:rPr>
      </w:pPr>
    </w:p>
    <w:tbl>
      <w:tblPr>
        <w:tblStyle w:val="25"/>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750"/>
        <w:gridCol w:w="1607"/>
        <w:gridCol w:w="1279"/>
        <w:gridCol w:w="1681"/>
        <w:gridCol w:w="1150"/>
        <w:gridCol w:w="15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blHeader/>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同位素</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Sr-90当量因子乘数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同位素</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Sr-90当量因子乘数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同位素</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Sr-90当量因子乘数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氚化水</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0.0006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Tc-99m</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0.0008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Tm-170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OBT(有机束缚氚)</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0.002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Ru-103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Yb-169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P-32</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Ru-106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Ir-192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Mn-54</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Pd-103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0.007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Au-198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Fe-55</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Cd-109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Tl-204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Co-57</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0.008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Ag-110m</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Po-210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Co-60</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Te-132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Ra-226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Ni-63</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0.005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I-125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U-235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Ge-68</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I-131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U-238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Se-75</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Cs-134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Pu-238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Sr-89</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Cs-137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Pu-239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Sr-90</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Pm-147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0.009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Am-241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Y-90</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Eu-152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Cm-244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7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Mo-99</w:t>
            </w:r>
          </w:p>
        </w:tc>
        <w:tc>
          <w:tcPr>
            <w:tcW w:w="160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Gd-153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0.01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Cf-252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cs="Times New Roman"/>
                <w:sz w:val="28"/>
                <w:szCs w:val="28"/>
              </w:rPr>
            </w:pPr>
            <w:r>
              <w:rPr>
                <w:rFonts w:hint="default" w:ascii="Times New Roman" w:hAnsi="Times New Roman" w:cs="Times New Roman"/>
                <w:sz w:val="28"/>
                <w:szCs w:val="28"/>
              </w:rPr>
              <w:t>3</w:t>
            </w:r>
          </w:p>
        </w:tc>
      </w:tr>
    </w:tbl>
    <w:p>
      <w:pPr>
        <w:tabs>
          <w:tab w:val="left" w:pos="0"/>
          <w:tab w:val="left" w:pos="1064"/>
        </w:tabs>
        <w:spacing w:line="580" w:lineRule="exact"/>
        <w:jc w:val="center"/>
        <w:rPr>
          <w:rFonts w:hint="default" w:ascii="Times New Roman" w:hAnsi="Times New Roman" w:eastAsia="黑体" w:cs="Times New Roman"/>
          <w:sz w:val="32"/>
          <w:szCs w:val="32"/>
        </w:rPr>
      </w:pPr>
    </w:p>
    <w:p>
      <w:pPr>
        <w:tabs>
          <w:tab w:val="left" w:pos="0"/>
          <w:tab w:val="left" w:pos="1064"/>
        </w:tabs>
        <w:spacing w:line="580" w:lineRule="exact"/>
        <w:jc w:val="center"/>
        <w:rPr>
          <w:rFonts w:hint="default" w:ascii="Times New Roman" w:hAnsi="Times New Roman" w:eastAsia="黑体" w:cs="Times New Roman"/>
          <w:sz w:val="32"/>
          <w:szCs w:val="32"/>
        </w:rPr>
      </w:pPr>
    </w:p>
    <w:p>
      <w:pPr>
        <w:tabs>
          <w:tab w:val="left" w:pos="0"/>
          <w:tab w:val="left" w:pos="1064"/>
        </w:tabs>
        <w:spacing w:line="580" w:lineRule="exact"/>
        <w:jc w:val="center"/>
        <w:rPr>
          <w:rFonts w:hint="default" w:ascii="Times New Roman" w:hAnsi="Times New Roman" w:eastAsia="黑体" w:cs="Times New Roman"/>
          <w:sz w:val="32"/>
          <w:szCs w:val="32"/>
        </w:rPr>
      </w:pPr>
    </w:p>
    <w:p>
      <w:pPr>
        <w:tabs>
          <w:tab w:val="left" w:pos="0"/>
          <w:tab w:val="left" w:pos="1064"/>
        </w:tabs>
        <w:spacing w:line="58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表3 各种同位素的D2值</w:t>
      </w:r>
    </w:p>
    <w:tbl>
      <w:tblPr>
        <w:tblStyle w:val="25"/>
        <w:tblpPr w:leftFromText="180" w:rightFromText="180" w:vertAnchor="text" w:horzAnchor="page" w:tblpX="1581" w:tblpY="70"/>
        <w:tblOverlap w:val="never"/>
        <w:tblW w:w="904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41"/>
        <w:gridCol w:w="1022"/>
        <w:gridCol w:w="1495"/>
        <w:gridCol w:w="1086"/>
        <w:gridCol w:w="2557"/>
        <w:gridCol w:w="134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tabs>
                <w:tab w:val="left" w:pos="0"/>
                <w:tab w:val="left" w:pos="1064"/>
              </w:tabs>
              <w:kinsoku/>
              <w:wordWrap/>
              <w:overflowPunct/>
              <w:topLinePunct w:val="0"/>
              <w:autoSpaceDE/>
              <w:autoSpaceDN/>
              <w:bidi w:val="0"/>
              <w:adjustRightInd/>
              <w:snapToGrid/>
              <w:spacing w:line="360" w:lineRule="exact"/>
              <w:jc w:val="left"/>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核素</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tabs>
                <w:tab w:val="left" w:pos="0"/>
                <w:tab w:val="left" w:pos="1064"/>
              </w:tabs>
              <w:kinsoku/>
              <w:wordWrap/>
              <w:overflowPunct/>
              <w:topLinePunct w:val="0"/>
              <w:autoSpaceDE/>
              <w:autoSpaceDN/>
              <w:bidi w:val="0"/>
              <w:adjustRightInd/>
              <w:snapToGrid/>
              <w:spacing w:line="360" w:lineRule="exact"/>
              <w:jc w:val="left"/>
              <w:textAlignment w:val="auto"/>
              <w:rPr>
                <w:rFonts w:hint="default" w:ascii="Times New Roman" w:hAnsi="Times New Roman" w:eastAsia="黑体" w:cs="Times New Roman"/>
                <w:sz w:val="28"/>
                <w:szCs w:val="28"/>
              </w:rPr>
            </w:pPr>
            <w:r>
              <w:rPr>
                <w:rFonts w:hint="default" w:ascii="Times New Roman" w:hAnsi="Times New Roman" w:eastAsia="黑体" w:cs="Times New Roman"/>
                <w:spacing w:val="-20"/>
                <w:sz w:val="28"/>
                <w:szCs w:val="28"/>
              </w:rPr>
              <w:t>D</w:t>
            </w:r>
            <w:r>
              <w:rPr>
                <w:rFonts w:hint="default" w:ascii="Times New Roman" w:hAnsi="Times New Roman" w:eastAsia="黑体" w:cs="Times New Roman"/>
                <w:spacing w:val="-20"/>
                <w:sz w:val="28"/>
                <w:szCs w:val="28"/>
                <w:vertAlign w:val="subscript"/>
              </w:rPr>
              <w:t>2</w:t>
            </w:r>
            <w:r>
              <w:rPr>
                <w:rFonts w:hint="default" w:ascii="Times New Roman" w:hAnsi="Times New Roman" w:eastAsia="黑体" w:cs="Times New Roman"/>
                <w:spacing w:val="-20"/>
                <w:sz w:val="28"/>
                <w:szCs w:val="28"/>
              </w:rPr>
              <w:t>值(TBq)</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tabs>
                <w:tab w:val="left" w:pos="0"/>
                <w:tab w:val="left" w:pos="1064"/>
              </w:tabs>
              <w:kinsoku/>
              <w:wordWrap/>
              <w:overflowPunct/>
              <w:topLinePunct w:val="0"/>
              <w:autoSpaceDE/>
              <w:autoSpaceDN/>
              <w:bidi w:val="0"/>
              <w:adjustRightInd/>
              <w:snapToGrid/>
              <w:spacing w:line="360" w:lineRule="exact"/>
              <w:jc w:val="left"/>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核素</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tabs>
                <w:tab w:val="left" w:pos="0"/>
                <w:tab w:val="left" w:pos="1064"/>
              </w:tabs>
              <w:kinsoku/>
              <w:wordWrap/>
              <w:overflowPunct/>
              <w:topLinePunct w:val="0"/>
              <w:autoSpaceDE/>
              <w:autoSpaceDN/>
              <w:bidi w:val="0"/>
              <w:adjustRightInd/>
              <w:snapToGrid/>
              <w:spacing w:line="360" w:lineRule="exact"/>
              <w:jc w:val="left"/>
              <w:textAlignment w:val="auto"/>
              <w:rPr>
                <w:rFonts w:hint="default" w:ascii="Times New Roman" w:hAnsi="Times New Roman" w:eastAsia="黑体" w:cs="Times New Roman"/>
                <w:sz w:val="28"/>
                <w:szCs w:val="28"/>
              </w:rPr>
            </w:pPr>
            <w:r>
              <w:rPr>
                <w:rFonts w:hint="default" w:ascii="Times New Roman" w:hAnsi="Times New Roman" w:eastAsia="黑体" w:cs="Times New Roman"/>
                <w:spacing w:val="-20"/>
                <w:sz w:val="28"/>
                <w:szCs w:val="28"/>
              </w:rPr>
              <w:t>D</w:t>
            </w:r>
            <w:r>
              <w:rPr>
                <w:rFonts w:hint="default" w:ascii="Times New Roman" w:hAnsi="Times New Roman" w:eastAsia="黑体" w:cs="Times New Roman"/>
                <w:spacing w:val="-20"/>
                <w:sz w:val="28"/>
                <w:szCs w:val="28"/>
                <w:vertAlign w:val="subscript"/>
              </w:rPr>
              <w:t>2</w:t>
            </w:r>
            <w:r>
              <w:rPr>
                <w:rFonts w:hint="default" w:ascii="Times New Roman" w:hAnsi="Times New Roman" w:eastAsia="黑体" w:cs="Times New Roman"/>
                <w:spacing w:val="-20"/>
                <w:sz w:val="28"/>
                <w:szCs w:val="28"/>
              </w:rPr>
              <w:t>值(TBq)</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tabs>
                <w:tab w:val="left" w:pos="0"/>
                <w:tab w:val="left" w:pos="1064"/>
              </w:tabs>
              <w:kinsoku/>
              <w:wordWrap/>
              <w:overflowPunct/>
              <w:topLinePunct w:val="0"/>
              <w:autoSpaceDE/>
              <w:autoSpaceDN/>
              <w:bidi w:val="0"/>
              <w:adjustRightInd/>
              <w:snapToGrid/>
              <w:spacing w:line="360" w:lineRule="exact"/>
              <w:ind w:firstLine="560" w:firstLineChars="200"/>
              <w:jc w:val="left"/>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核素</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tabs>
                <w:tab w:val="left" w:pos="0"/>
                <w:tab w:val="left" w:pos="1064"/>
              </w:tabs>
              <w:kinsoku/>
              <w:wordWrap/>
              <w:overflowPunct/>
              <w:topLinePunct w:val="0"/>
              <w:autoSpaceDE/>
              <w:autoSpaceDN/>
              <w:bidi w:val="0"/>
              <w:adjustRightInd/>
              <w:snapToGrid/>
              <w:spacing w:line="360" w:lineRule="exact"/>
              <w:jc w:val="left"/>
              <w:textAlignment w:val="auto"/>
              <w:rPr>
                <w:rFonts w:hint="default" w:ascii="Times New Roman" w:hAnsi="Times New Roman" w:eastAsia="黑体" w:cs="Times New Roman"/>
                <w:sz w:val="28"/>
                <w:szCs w:val="28"/>
              </w:rPr>
            </w:pPr>
            <w:r>
              <w:rPr>
                <w:rFonts w:hint="default" w:ascii="Times New Roman" w:hAnsi="Times New Roman" w:eastAsia="黑体" w:cs="Times New Roman"/>
                <w:spacing w:val="-20"/>
                <w:sz w:val="28"/>
                <w:szCs w:val="28"/>
              </w:rPr>
              <w:t>D</w:t>
            </w:r>
            <w:r>
              <w:rPr>
                <w:rFonts w:hint="default" w:ascii="Times New Roman" w:hAnsi="Times New Roman" w:eastAsia="黑体" w:cs="Times New Roman"/>
                <w:spacing w:val="-20"/>
                <w:sz w:val="28"/>
                <w:szCs w:val="28"/>
                <w:vertAlign w:val="subscript"/>
              </w:rPr>
              <w:t>2</w:t>
            </w:r>
            <w:r>
              <w:rPr>
                <w:rFonts w:hint="default" w:ascii="Times New Roman" w:hAnsi="Times New Roman" w:eastAsia="黑体" w:cs="Times New Roman"/>
                <w:spacing w:val="-20"/>
                <w:sz w:val="28"/>
                <w:szCs w:val="28"/>
              </w:rPr>
              <w:t>值(TBq)</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Am-241</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0.06</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Ge-68</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20</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Po-210</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0.06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Am-241/Be</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0.06</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H-3</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2000</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Pu-238</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0.06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Au-198</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30</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I-125</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0.2</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Pu-239/Be</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0.06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Cd-109</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30</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I-131</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0.2</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Ra-226</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0.07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Cf-252</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0.01</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Ir-192</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20</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Ru-106(Rh-106)</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Cm-244</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0.05</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Kr-85</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2000</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Se-75</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Co-57</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400</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Mo-99</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20</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Sr-90(Y-90)</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Co-60</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30</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Ni-63</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60</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Tc-99m</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Cs-137</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20</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P-32</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20</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Tl-204</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Fe-55</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800</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Pd-103</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100</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Tm-170</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rPr>
        <w:tc>
          <w:tcPr>
            <w:tcW w:w="154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Gd-153</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80</w:t>
            </w:r>
          </w:p>
        </w:tc>
        <w:tc>
          <w:tcPr>
            <w:tcW w:w="14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Pm-147</w:t>
            </w:r>
          </w:p>
        </w:tc>
        <w:tc>
          <w:tcPr>
            <w:tcW w:w="108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40</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Yb-169</w:t>
            </w:r>
          </w:p>
        </w:tc>
        <w:tc>
          <w:tcPr>
            <w:tcW w:w="134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cs="Times New Roman"/>
                <w:sz w:val="28"/>
                <w:szCs w:val="28"/>
              </w:rPr>
            </w:pPr>
            <w:r>
              <w:rPr>
                <w:rFonts w:hint="default" w:ascii="Times New Roman" w:hAnsi="Times New Roman" w:cs="Times New Roman"/>
                <w:sz w:val="28"/>
                <w:szCs w:val="28"/>
              </w:rPr>
              <w:t>30</w:t>
            </w:r>
          </w:p>
        </w:tc>
      </w:tr>
    </w:tbl>
    <w:p>
      <w:pPr>
        <w:pStyle w:val="2"/>
        <w:keepNext w:val="0"/>
        <w:keepLines w:val="0"/>
        <w:pageBreakBefore w:val="0"/>
        <w:widowControl w:val="0"/>
        <w:kinsoku/>
        <w:wordWrap/>
        <w:overflowPunct/>
        <w:topLinePunct w:val="0"/>
        <w:autoSpaceDE/>
        <w:autoSpaceDN/>
        <w:bidi w:val="0"/>
        <w:adjustRightInd/>
        <w:snapToGrid/>
        <w:spacing w:line="80" w:lineRule="exact"/>
        <w:ind w:left="3362"/>
        <w:textAlignment w:val="auto"/>
        <w:rPr>
          <w:rFonts w:hint="default" w:ascii="Times New Roman" w:hAnsi="Times New Roman" w:cs="Times New Roman"/>
        </w:rPr>
      </w:pPr>
    </w:p>
    <w:p>
      <w:pPr>
        <w:tabs>
          <w:tab w:val="left" w:pos="0"/>
          <w:tab w:val="left" w:pos="1064"/>
        </w:tabs>
        <w:spacing w:line="580" w:lineRule="exact"/>
        <w:ind w:firstLine="640" w:firstLineChars="200"/>
        <w:rPr>
          <w:rFonts w:eastAsia="仿宋_GB2312"/>
          <w:sz w:val="32"/>
          <w:szCs w:val="32"/>
        </w:rPr>
      </w:pPr>
    </w:p>
    <w:p>
      <w:pPr>
        <w:tabs>
          <w:tab w:val="left" w:pos="0"/>
          <w:tab w:val="left" w:pos="1064"/>
        </w:tabs>
        <w:spacing w:line="580" w:lineRule="exact"/>
        <w:ind w:firstLine="640" w:firstLineChars="200"/>
        <w:rPr>
          <w:rFonts w:eastAsia="仿宋_GB2312"/>
          <w:sz w:val="32"/>
          <w:szCs w:val="32"/>
        </w:rPr>
      </w:pPr>
    </w:p>
    <w:p>
      <w:pPr>
        <w:pStyle w:val="12"/>
        <w:keepNext w:val="0"/>
        <w:keepLines w:val="0"/>
        <w:pageBreakBefore w:val="0"/>
        <w:widowControl w:val="0"/>
        <w:kinsoku/>
        <w:wordWrap/>
        <w:overflowPunct/>
        <w:topLinePunct w:val="0"/>
        <w:autoSpaceDE/>
        <w:autoSpaceDN/>
        <w:bidi w:val="0"/>
        <w:adjustRightInd/>
        <w:snapToGrid/>
        <w:spacing w:after="0" w:line="576" w:lineRule="exact"/>
        <w:ind w:left="0" w:leftChars="0"/>
        <w:textAlignment w:val="auto"/>
        <w:rPr>
          <w:rFonts w:hint="default" w:ascii="Times New Roman" w:hAnsi="Times New Roman" w:eastAsia="仿宋_GB2312" w:cs="Times New Roman"/>
          <w:lang w:eastAsia="zh-CN"/>
        </w:rPr>
      </w:pPr>
    </w:p>
    <w:p>
      <w:pPr>
        <w:pStyle w:val="12"/>
        <w:keepNext w:val="0"/>
        <w:keepLines w:val="0"/>
        <w:pageBreakBefore w:val="0"/>
        <w:widowControl w:val="0"/>
        <w:kinsoku/>
        <w:wordWrap/>
        <w:overflowPunct/>
        <w:topLinePunct w:val="0"/>
        <w:autoSpaceDE/>
        <w:autoSpaceDN/>
        <w:bidi w:val="0"/>
        <w:adjustRightInd/>
        <w:snapToGrid/>
        <w:spacing w:after="0" w:line="576" w:lineRule="exact"/>
        <w:ind w:left="0" w:leftChars="0"/>
        <w:textAlignment w:val="auto"/>
        <w:rPr>
          <w:rFonts w:hint="default" w:ascii="Times New Roman" w:hAnsi="Times New Roman" w:eastAsia="仿宋_GB2312" w:cs="Times New Roman"/>
          <w:lang w:eastAsia="zh-CN"/>
        </w:rPr>
      </w:pPr>
    </w:p>
    <w:p>
      <w:pPr>
        <w:pStyle w:val="12"/>
        <w:keepNext w:val="0"/>
        <w:keepLines w:val="0"/>
        <w:pageBreakBefore w:val="0"/>
        <w:widowControl w:val="0"/>
        <w:kinsoku/>
        <w:wordWrap/>
        <w:overflowPunct/>
        <w:topLinePunct w:val="0"/>
        <w:autoSpaceDE/>
        <w:autoSpaceDN/>
        <w:bidi w:val="0"/>
        <w:adjustRightInd/>
        <w:snapToGrid/>
        <w:spacing w:after="0" w:line="576" w:lineRule="exact"/>
        <w:ind w:left="0" w:leftChars="0"/>
        <w:textAlignment w:val="auto"/>
        <w:rPr>
          <w:rFonts w:hint="default" w:ascii="Times New Roman" w:hAnsi="Times New Roman" w:eastAsia="仿宋_GB2312" w:cs="Times New Roman"/>
          <w:lang w:eastAsia="zh-CN"/>
        </w:rPr>
      </w:pPr>
    </w:p>
    <w:p>
      <w:pPr>
        <w:pStyle w:val="12"/>
        <w:keepNext w:val="0"/>
        <w:keepLines w:val="0"/>
        <w:pageBreakBefore w:val="0"/>
        <w:widowControl w:val="0"/>
        <w:kinsoku/>
        <w:wordWrap/>
        <w:overflowPunct/>
        <w:topLinePunct w:val="0"/>
        <w:autoSpaceDE/>
        <w:autoSpaceDN/>
        <w:bidi w:val="0"/>
        <w:adjustRightInd/>
        <w:snapToGrid/>
        <w:spacing w:after="0" w:line="576" w:lineRule="exact"/>
        <w:ind w:left="0" w:leftChars="0"/>
        <w:textAlignment w:val="auto"/>
        <w:rPr>
          <w:rFonts w:hint="default" w:ascii="Times New Roman" w:hAnsi="Times New Roman" w:eastAsia="仿宋_GB2312" w:cs="Times New Roman"/>
          <w:lang w:eastAsia="zh-CN"/>
        </w:rPr>
      </w:pPr>
    </w:p>
    <w:p>
      <w:pPr>
        <w:spacing w:line="580" w:lineRule="exact"/>
        <w:jc w:val="left"/>
        <w:outlineLvl w:val="0"/>
        <w:rPr>
          <w:rFonts w:hint="eastAsia" w:ascii="黑体" w:hAnsi="黑体" w:eastAsia="黑体" w:cs="黑体"/>
          <w:sz w:val="44"/>
          <w:szCs w:val="44"/>
        </w:rPr>
      </w:pPr>
      <w:bookmarkStart w:id="89" w:name="_Toc107236154"/>
      <w:r>
        <w:rPr>
          <w:rFonts w:hint="eastAsia" w:ascii="黑体" w:hAnsi="黑体" w:eastAsia="黑体" w:cs="黑体"/>
          <w:sz w:val="32"/>
          <w:szCs w:val="32"/>
        </w:rPr>
        <w:t>附件</w:t>
      </w:r>
      <w:r>
        <w:rPr>
          <w:rFonts w:hint="default" w:ascii="Times New Roman" w:hAnsi="Times New Roman" w:eastAsia="黑体" w:cs="Times New Roman"/>
          <w:sz w:val="32"/>
          <w:szCs w:val="32"/>
        </w:rPr>
        <w:t>2</w:t>
      </w:r>
      <w:r>
        <w:rPr>
          <w:rFonts w:hint="eastAsia" w:ascii="黑体" w:hAnsi="黑体" w:eastAsia="黑体" w:cs="黑体"/>
          <w:sz w:val="44"/>
          <w:szCs w:val="44"/>
        </w:rPr>
        <w:t xml:space="preserve">      </w:t>
      </w:r>
    </w:p>
    <w:p>
      <w:pPr>
        <w:pStyle w:val="2"/>
        <w:keepNext w:val="0"/>
        <w:keepLines w:val="0"/>
        <w:pageBreakBefore w:val="0"/>
        <w:widowControl w:val="0"/>
        <w:kinsoku/>
        <w:wordWrap/>
        <w:overflowPunct/>
        <w:topLinePunct w:val="0"/>
        <w:autoSpaceDE/>
        <w:autoSpaceDN/>
        <w:bidi w:val="0"/>
        <w:adjustRightInd/>
        <w:snapToGrid/>
        <w:spacing w:line="300" w:lineRule="exact"/>
        <w:ind w:left="3362"/>
        <w:textAlignment w:val="auto"/>
        <w:rPr>
          <w:rFonts w:hint="eastAsia"/>
        </w:rPr>
      </w:pPr>
    </w:p>
    <w:p>
      <w:pPr>
        <w:spacing w:line="58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辐射事故初始报告表</w:t>
      </w:r>
      <w:bookmarkEnd w:id="89"/>
    </w:p>
    <w:p>
      <w:pPr>
        <w:pStyle w:val="2"/>
        <w:keepNext w:val="0"/>
        <w:keepLines w:val="0"/>
        <w:pageBreakBefore w:val="0"/>
        <w:widowControl w:val="0"/>
        <w:kinsoku/>
        <w:wordWrap/>
        <w:overflowPunct/>
        <w:topLinePunct w:val="0"/>
        <w:autoSpaceDE/>
        <w:autoSpaceDN/>
        <w:bidi w:val="0"/>
        <w:adjustRightInd/>
        <w:snapToGrid/>
        <w:spacing w:line="300" w:lineRule="exact"/>
        <w:ind w:left="3362"/>
        <w:textAlignment w:val="auto"/>
        <w:rPr>
          <w:sz w:val="28"/>
          <w:szCs w:val="28"/>
        </w:rPr>
      </w:pPr>
    </w:p>
    <w:tbl>
      <w:tblPr>
        <w:tblStyle w:val="26"/>
        <w:tblW w:w="4997"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29"/>
        <w:gridCol w:w="1400"/>
        <w:gridCol w:w="1138"/>
        <w:gridCol w:w="92"/>
        <w:gridCol w:w="802"/>
        <w:gridCol w:w="569"/>
        <w:gridCol w:w="415"/>
        <w:gridCol w:w="1032"/>
        <w:gridCol w:w="1291"/>
        <w:gridCol w:w="691"/>
        <w:gridCol w:w="109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9" w:hRule="exact"/>
        </w:trPr>
        <w:tc>
          <w:tcPr>
            <w:tcW w:w="1065" w:type="pct"/>
            <w:gridSpan w:val="2"/>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事故单位名称</w:t>
            </w:r>
          </w:p>
        </w:tc>
        <w:tc>
          <w:tcPr>
            <w:tcW w:w="3934" w:type="pct"/>
            <w:gridSpan w:val="9"/>
            <w:noWrap w:val="0"/>
            <w:vAlign w:val="center"/>
          </w:tcPr>
          <w:p>
            <w:pPr>
              <w:ind w:firstLine="4320" w:firstLineChars="1800"/>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7" w:hRule="exact"/>
        </w:trPr>
        <w:tc>
          <w:tcPr>
            <w:tcW w:w="1065" w:type="pct"/>
            <w:gridSpan w:val="2"/>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法定代表人</w:t>
            </w:r>
          </w:p>
        </w:tc>
        <w:tc>
          <w:tcPr>
            <w:tcW w:w="628" w:type="pct"/>
            <w:noWrap w:val="0"/>
            <w:vAlign w:val="center"/>
          </w:tcPr>
          <w:p>
            <w:pPr>
              <w:jc w:val="left"/>
              <w:rPr>
                <w:rFonts w:hint="default" w:ascii="Times New Roman" w:hAnsi="Times New Roman" w:eastAsia="黑体" w:cs="Times New Roman"/>
                <w:sz w:val="24"/>
                <w:szCs w:val="24"/>
              </w:rPr>
            </w:pPr>
          </w:p>
        </w:tc>
        <w:tc>
          <w:tcPr>
            <w:tcW w:w="493" w:type="pct"/>
            <w:gridSpan w:val="2"/>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地址</w:t>
            </w:r>
          </w:p>
        </w:tc>
        <w:tc>
          <w:tcPr>
            <w:tcW w:w="1825" w:type="pct"/>
            <w:gridSpan w:val="4"/>
            <w:noWrap w:val="0"/>
            <w:vAlign w:val="center"/>
          </w:tcPr>
          <w:p>
            <w:pPr>
              <w:jc w:val="left"/>
              <w:rPr>
                <w:rFonts w:hint="default" w:ascii="Times New Roman" w:hAnsi="Times New Roman" w:eastAsia="黑体" w:cs="Times New Roman"/>
                <w:sz w:val="24"/>
                <w:szCs w:val="24"/>
              </w:rPr>
            </w:pPr>
          </w:p>
        </w:tc>
        <w:tc>
          <w:tcPr>
            <w:tcW w:w="381" w:type="pct"/>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邮编</w:t>
            </w:r>
          </w:p>
        </w:tc>
        <w:tc>
          <w:tcPr>
            <w:tcW w:w="605" w:type="pct"/>
            <w:noWrap w:val="0"/>
            <w:vAlign w:val="center"/>
          </w:tcPr>
          <w:p>
            <w:pPr>
              <w:jc w:val="left"/>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exact"/>
        </w:trPr>
        <w:tc>
          <w:tcPr>
            <w:tcW w:w="1065" w:type="pct"/>
            <w:gridSpan w:val="2"/>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电话</w:t>
            </w:r>
          </w:p>
        </w:tc>
        <w:tc>
          <w:tcPr>
            <w:tcW w:w="1121" w:type="pct"/>
            <w:gridSpan w:val="3"/>
            <w:noWrap w:val="0"/>
            <w:vAlign w:val="center"/>
          </w:tcPr>
          <w:p>
            <w:pPr>
              <w:jc w:val="left"/>
              <w:rPr>
                <w:rFonts w:hint="default" w:ascii="Times New Roman" w:hAnsi="Times New Roman" w:eastAsia="黑体" w:cs="Times New Roman"/>
                <w:sz w:val="24"/>
                <w:szCs w:val="24"/>
              </w:rPr>
            </w:pPr>
          </w:p>
        </w:tc>
        <w:tc>
          <w:tcPr>
            <w:tcW w:w="543" w:type="pct"/>
            <w:gridSpan w:val="2"/>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传真</w:t>
            </w:r>
          </w:p>
        </w:tc>
        <w:tc>
          <w:tcPr>
            <w:tcW w:w="569" w:type="pct"/>
            <w:noWrap w:val="0"/>
            <w:vAlign w:val="center"/>
          </w:tcPr>
          <w:p>
            <w:pPr>
              <w:jc w:val="left"/>
              <w:rPr>
                <w:rFonts w:hint="default" w:ascii="Times New Roman" w:hAnsi="Times New Roman" w:eastAsia="黑体" w:cs="Times New Roman"/>
                <w:sz w:val="24"/>
                <w:szCs w:val="24"/>
              </w:rPr>
            </w:pPr>
          </w:p>
        </w:tc>
        <w:tc>
          <w:tcPr>
            <w:tcW w:w="712" w:type="pct"/>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联系人</w:t>
            </w:r>
          </w:p>
        </w:tc>
        <w:tc>
          <w:tcPr>
            <w:tcW w:w="987" w:type="pct"/>
            <w:gridSpan w:val="2"/>
            <w:noWrap w:val="0"/>
            <w:vAlign w:val="center"/>
          </w:tcPr>
          <w:p>
            <w:pPr>
              <w:jc w:val="left"/>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7" w:hRule="exact"/>
        </w:trPr>
        <w:tc>
          <w:tcPr>
            <w:tcW w:w="1065" w:type="pct"/>
            <w:gridSpan w:val="2"/>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许可证号</w:t>
            </w:r>
          </w:p>
        </w:tc>
        <w:tc>
          <w:tcPr>
            <w:tcW w:w="1121" w:type="pct"/>
            <w:gridSpan w:val="3"/>
            <w:noWrap w:val="0"/>
            <w:vAlign w:val="center"/>
          </w:tcPr>
          <w:p>
            <w:pPr>
              <w:jc w:val="left"/>
              <w:rPr>
                <w:rFonts w:hint="default" w:ascii="Times New Roman" w:hAnsi="Times New Roman" w:eastAsia="黑体" w:cs="Times New Roman"/>
                <w:sz w:val="24"/>
                <w:szCs w:val="24"/>
              </w:rPr>
            </w:pPr>
          </w:p>
        </w:tc>
        <w:tc>
          <w:tcPr>
            <w:tcW w:w="1113" w:type="pct"/>
            <w:gridSpan w:val="3"/>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许可证审批机关</w:t>
            </w:r>
          </w:p>
        </w:tc>
        <w:tc>
          <w:tcPr>
            <w:tcW w:w="1699" w:type="pct"/>
            <w:gridSpan w:val="3"/>
            <w:noWrap w:val="0"/>
            <w:vAlign w:val="center"/>
          </w:tcPr>
          <w:p>
            <w:pPr>
              <w:jc w:val="left"/>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9" w:hRule="exact"/>
        </w:trPr>
        <w:tc>
          <w:tcPr>
            <w:tcW w:w="1065" w:type="pct"/>
            <w:gridSpan w:val="2"/>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    故</w:t>
            </w:r>
          </w:p>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发生时间</w:t>
            </w:r>
          </w:p>
        </w:tc>
        <w:tc>
          <w:tcPr>
            <w:tcW w:w="1121" w:type="pct"/>
            <w:gridSpan w:val="3"/>
            <w:noWrap w:val="0"/>
            <w:vAlign w:val="center"/>
          </w:tcPr>
          <w:p>
            <w:pPr>
              <w:jc w:val="left"/>
              <w:rPr>
                <w:rFonts w:hint="default" w:ascii="Times New Roman" w:hAnsi="Times New Roman" w:eastAsia="黑体" w:cs="Times New Roman"/>
                <w:sz w:val="24"/>
                <w:szCs w:val="24"/>
              </w:rPr>
            </w:pPr>
          </w:p>
        </w:tc>
        <w:tc>
          <w:tcPr>
            <w:tcW w:w="1113" w:type="pct"/>
            <w:gridSpan w:val="3"/>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事故发生地点</w:t>
            </w:r>
          </w:p>
        </w:tc>
        <w:tc>
          <w:tcPr>
            <w:tcW w:w="1699" w:type="pct"/>
            <w:gridSpan w:val="3"/>
            <w:noWrap w:val="0"/>
            <w:vAlign w:val="center"/>
          </w:tcPr>
          <w:p>
            <w:pPr>
              <w:jc w:val="left"/>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exact"/>
        </w:trPr>
        <w:tc>
          <w:tcPr>
            <w:tcW w:w="1065" w:type="pct"/>
            <w:gridSpan w:val="2"/>
            <w:vMerge w:val="restart"/>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  故</w:t>
            </w:r>
          </w:p>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类  型</w:t>
            </w:r>
          </w:p>
        </w:tc>
        <w:tc>
          <w:tcPr>
            <w:tcW w:w="2234" w:type="pct"/>
            <w:gridSpan w:val="6"/>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□人员受照   □人员污染</w:t>
            </w:r>
          </w:p>
        </w:tc>
        <w:tc>
          <w:tcPr>
            <w:tcW w:w="1699"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受照人数：</w:t>
            </w:r>
          </w:p>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受污染人数：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3" w:hRule="exact"/>
        </w:trPr>
        <w:tc>
          <w:tcPr>
            <w:tcW w:w="1065" w:type="pct"/>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p>
        </w:tc>
        <w:tc>
          <w:tcPr>
            <w:tcW w:w="2234" w:type="pct"/>
            <w:gridSpan w:val="6"/>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□丢失  □被盗</w:t>
            </w:r>
            <w:r>
              <w:rPr>
                <w:rFonts w:hint="default" w:ascii="Times New Roman" w:hAnsi="Times New Roman" w:eastAsia="黑体" w:cs="Times New Roman"/>
                <w:sz w:val="24"/>
                <w:szCs w:val="24"/>
                <w:lang w:val="en-US" w:eastAsia="zh-CN"/>
              </w:rPr>
              <w:t xml:space="preserve"> </w:t>
            </w:r>
            <w:r>
              <w:rPr>
                <w:rFonts w:hint="default" w:ascii="Times New Roman" w:hAnsi="Times New Roman" w:eastAsia="黑体" w:cs="Times New Roman"/>
                <w:sz w:val="24"/>
                <w:szCs w:val="24"/>
              </w:rPr>
              <w:t xml:space="preserve">  □失控</w:t>
            </w:r>
          </w:p>
        </w:tc>
        <w:tc>
          <w:tcPr>
            <w:tcW w:w="1699"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事故源数量：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1" w:hRule="exact"/>
        </w:trPr>
        <w:tc>
          <w:tcPr>
            <w:tcW w:w="1065" w:type="pct"/>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p>
        </w:tc>
        <w:tc>
          <w:tcPr>
            <w:tcW w:w="2234" w:type="pct"/>
            <w:gridSpan w:val="6"/>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□放射性污染</w:t>
            </w:r>
          </w:p>
        </w:tc>
        <w:tc>
          <w:tcPr>
            <w:tcW w:w="1699"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污染面积（m2）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8" w:hRule="exact"/>
        </w:trPr>
        <w:tc>
          <w:tcPr>
            <w:tcW w:w="292"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序号</w:t>
            </w:r>
          </w:p>
        </w:tc>
        <w:tc>
          <w:tcPr>
            <w:tcW w:w="772"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事故源核素名称</w:t>
            </w:r>
          </w:p>
        </w:tc>
        <w:tc>
          <w:tcPr>
            <w:tcW w:w="679"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出场活度（Bq）</w:t>
            </w:r>
          </w:p>
        </w:tc>
        <w:tc>
          <w:tcPr>
            <w:tcW w:w="756"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出厂日期</w:t>
            </w:r>
          </w:p>
        </w:tc>
        <w:tc>
          <w:tcPr>
            <w:tcW w:w="798"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放射源编码</w:t>
            </w:r>
          </w:p>
        </w:tc>
        <w:tc>
          <w:tcPr>
            <w:tcW w:w="712"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事故时活度（Bq）</w:t>
            </w:r>
          </w:p>
        </w:tc>
        <w:tc>
          <w:tcPr>
            <w:tcW w:w="987"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非密封放射性物质状态（固/液态）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292" w:type="pct"/>
            <w:noWrap w:val="0"/>
            <w:vAlign w:val="center"/>
          </w:tcPr>
          <w:p>
            <w:pPr>
              <w:jc w:val="left"/>
              <w:rPr>
                <w:rFonts w:hint="default" w:ascii="Times New Roman" w:hAnsi="Times New Roman" w:eastAsia="黑体" w:cs="Times New Roman"/>
                <w:sz w:val="24"/>
                <w:szCs w:val="24"/>
              </w:rPr>
            </w:pPr>
          </w:p>
        </w:tc>
        <w:tc>
          <w:tcPr>
            <w:tcW w:w="772" w:type="pct"/>
            <w:noWrap w:val="0"/>
            <w:vAlign w:val="center"/>
          </w:tcPr>
          <w:p>
            <w:pPr>
              <w:jc w:val="left"/>
              <w:rPr>
                <w:rFonts w:hint="default" w:ascii="Times New Roman" w:hAnsi="Times New Roman" w:eastAsia="黑体" w:cs="Times New Roman"/>
                <w:sz w:val="24"/>
                <w:szCs w:val="24"/>
              </w:rPr>
            </w:pPr>
          </w:p>
        </w:tc>
        <w:tc>
          <w:tcPr>
            <w:tcW w:w="679" w:type="pct"/>
            <w:gridSpan w:val="2"/>
            <w:noWrap w:val="0"/>
            <w:vAlign w:val="center"/>
          </w:tcPr>
          <w:p>
            <w:pPr>
              <w:jc w:val="left"/>
              <w:rPr>
                <w:rFonts w:hint="default" w:ascii="Times New Roman" w:hAnsi="Times New Roman" w:eastAsia="黑体" w:cs="Times New Roman"/>
                <w:sz w:val="24"/>
                <w:szCs w:val="24"/>
              </w:rPr>
            </w:pPr>
          </w:p>
        </w:tc>
        <w:tc>
          <w:tcPr>
            <w:tcW w:w="756" w:type="pct"/>
            <w:gridSpan w:val="2"/>
            <w:noWrap w:val="0"/>
            <w:vAlign w:val="center"/>
          </w:tcPr>
          <w:p>
            <w:pPr>
              <w:jc w:val="left"/>
              <w:rPr>
                <w:rFonts w:hint="default" w:ascii="Times New Roman" w:hAnsi="Times New Roman" w:eastAsia="黑体" w:cs="Times New Roman"/>
                <w:sz w:val="24"/>
                <w:szCs w:val="24"/>
              </w:rPr>
            </w:pPr>
          </w:p>
        </w:tc>
        <w:tc>
          <w:tcPr>
            <w:tcW w:w="798" w:type="pct"/>
            <w:gridSpan w:val="2"/>
            <w:noWrap w:val="0"/>
            <w:vAlign w:val="center"/>
          </w:tcPr>
          <w:p>
            <w:pPr>
              <w:jc w:val="left"/>
              <w:rPr>
                <w:rFonts w:hint="default" w:ascii="Times New Roman" w:hAnsi="Times New Roman" w:eastAsia="黑体" w:cs="Times New Roman"/>
                <w:sz w:val="24"/>
                <w:szCs w:val="24"/>
              </w:rPr>
            </w:pPr>
          </w:p>
        </w:tc>
        <w:tc>
          <w:tcPr>
            <w:tcW w:w="712" w:type="pct"/>
            <w:noWrap w:val="0"/>
            <w:vAlign w:val="center"/>
          </w:tcPr>
          <w:p>
            <w:pPr>
              <w:jc w:val="left"/>
              <w:rPr>
                <w:rFonts w:hint="default" w:ascii="Times New Roman" w:hAnsi="Times New Roman" w:eastAsia="黑体" w:cs="Times New Roman"/>
                <w:sz w:val="24"/>
                <w:szCs w:val="24"/>
              </w:rPr>
            </w:pPr>
          </w:p>
        </w:tc>
        <w:tc>
          <w:tcPr>
            <w:tcW w:w="987" w:type="pct"/>
            <w:gridSpan w:val="2"/>
            <w:noWrap w:val="0"/>
            <w:vAlign w:val="center"/>
          </w:tcPr>
          <w:p>
            <w:pPr>
              <w:jc w:val="left"/>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292" w:type="pct"/>
            <w:noWrap w:val="0"/>
            <w:vAlign w:val="center"/>
          </w:tcPr>
          <w:p>
            <w:pPr>
              <w:jc w:val="left"/>
              <w:rPr>
                <w:rFonts w:hint="default" w:ascii="Times New Roman" w:hAnsi="Times New Roman" w:eastAsia="黑体" w:cs="Times New Roman"/>
                <w:sz w:val="24"/>
                <w:szCs w:val="24"/>
              </w:rPr>
            </w:pPr>
          </w:p>
        </w:tc>
        <w:tc>
          <w:tcPr>
            <w:tcW w:w="772" w:type="pct"/>
            <w:noWrap w:val="0"/>
            <w:vAlign w:val="center"/>
          </w:tcPr>
          <w:p>
            <w:pPr>
              <w:jc w:val="left"/>
              <w:rPr>
                <w:rFonts w:hint="default" w:ascii="Times New Roman" w:hAnsi="Times New Roman" w:eastAsia="黑体" w:cs="Times New Roman"/>
                <w:sz w:val="24"/>
                <w:szCs w:val="24"/>
              </w:rPr>
            </w:pPr>
          </w:p>
        </w:tc>
        <w:tc>
          <w:tcPr>
            <w:tcW w:w="679" w:type="pct"/>
            <w:gridSpan w:val="2"/>
            <w:noWrap w:val="0"/>
            <w:vAlign w:val="center"/>
          </w:tcPr>
          <w:p>
            <w:pPr>
              <w:jc w:val="left"/>
              <w:rPr>
                <w:rFonts w:hint="default" w:ascii="Times New Roman" w:hAnsi="Times New Roman" w:eastAsia="黑体" w:cs="Times New Roman"/>
                <w:sz w:val="24"/>
                <w:szCs w:val="24"/>
              </w:rPr>
            </w:pPr>
          </w:p>
        </w:tc>
        <w:tc>
          <w:tcPr>
            <w:tcW w:w="756" w:type="pct"/>
            <w:gridSpan w:val="2"/>
            <w:noWrap w:val="0"/>
            <w:vAlign w:val="center"/>
          </w:tcPr>
          <w:p>
            <w:pPr>
              <w:jc w:val="left"/>
              <w:rPr>
                <w:rFonts w:hint="default" w:ascii="Times New Roman" w:hAnsi="Times New Roman" w:eastAsia="黑体" w:cs="Times New Roman"/>
                <w:sz w:val="24"/>
                <w:szCs w:val="24"/>
              </w:rPr>
            </w:pPr>
          </w:p>
        </w:tc>
        <w:tc>
          <w:tcPr>
            <w:tcW w:w="798" w:type="pct"/>
            <w:gridSpan w:val="2"/>
            <w:noWrap w:val="0"/>
            <w:vAlign w:val="center"/>
          </w:tcPr>
          <w:p>
            <w:pPr>
              <w:jc w:val="left"/>
              <w:rPr>
                <w:rFonts w:hint="default" w:ascii="Times New Roman" w:hAnsi="Times New Roman" w:eastAsia="黑体" w:cs="Times New Roman"/>
                <w:sz w:val="24"/>
                <w:szCs w:val="24"/>
              </w:rPr>
            </w:pPr>
          </w:p>
        </w:tc>
        <w:tc>
          <w:tcPr>
            <w:tcW w:w="712" w:type="pct"/>
            <w:noWrap w:val="0"/>
            <w:vAlign w:val="center"/>
          </w:tcPr>
          <w:p>
            <w:pPr>
              <w:jc w:val="left"/>
              <w:rPr>
                <w:rFonts w:hint="default" w:ascii="Times New Roman" w:hAnsi="Times New Roman" w:eastAsia="黑体" w:cs="Times New Roman"/>
                <w:sz w:val="24"/>
                <w:szCs w:val="24"/>
              </w:rPr>
            </w:pPr>
          </w:p>
        </w:tc>
        <w:tc>
          <w:tcPr>
            <w:tcW w:w="987" w:type="pct"/>
            <w:gridSpan w:val="2"/>
            <w:noWrap w:val="0"/>
            <w:vAlign w:val="center"/>
          </w:tcPr>
          <w:p>
            <w:pPr>
              <w:jc w:val="left"/>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0" w:hRule="exact"/>
        </w:trPr>
        <w:tc>
          <w:tcPr>
            <w:tcW w:w="292"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序号</w:t>
            </w:r>
          </w:p>
        </w:tc>
        <w:tc>
          <w:tcPr>
            <w:tcW w:w="772"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射线装置名称</w:t>
            </w:r>
          </w:p>
        </w:tc>
        <w:tc>
          <w:tcPr>
            <w:tcW w:w="679"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型 号</w:t>
            </w:r>
          </w:p>
        </w:tc>
        <w:tc>
          <w:tcPr>
            <w:tcW w:w="756"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生产厂家</w:t>
            </w:r>
          </w:p>
        </w:tc>
        <w:tc>
          <w:tcPr>
            <w:tcW w:w="798"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设备编号</w:t>
            </w:r>
          </w:p>
        </w:tc>
        <w:tc>
          <w:tcPr>
            <w:tcW w:w="712"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所在场所</w:t>
            </w:r>
          </w:p>
        </w:tc>
        <w:tc>
          <w:tcPr>
            <w:tcW w:w="987"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主要参数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292" w:type="pct"/>
            <w:noWrap w:val="0"/>
            <w:vAlign w:val="center"/>
          </w:tcPr>
          <w:p>
            <w:pPr>
              <w:jc w:val="left"/>
              <w:rPr>
                <w:rFonts w:hint="default" w:ascii="Times New Roman" w:hAnsi="Times New Roman" w:eastAsia="黑体" w:cs="Times New Roman"/>
                <w:sz w:val="24"/>
                <w:szCs w:val="24"/>
              </w:rPr>
            </w:pPr>
          </w:p>
        </w:tc>
        <w:tc>
          <w:tcPr>
            <w:tcW w:w="772" w:type="pct"/>
            <w:noWrap w:val="0"/>
            <w:vAlign w:val="center"/>
          </w:tcPr>
          <w:p>
            <w:pPr>
              <w:jc w:val="left"/>
              <w:rPr>
                <w:rFonts w:hint="default" w:ascii="Times New Roman" w:hAnsi="Times New Roman" w:eastAsia="黑体" w:cs="Times New Roman"/>
                <w:sz w:val="24"/>
                <w:szCs w:val="24"/>
              </w:rPr>
            </w:pPr>
          </w:p>
        </w:tc>
        <w:tc>
          <w:tcPr>
            <w:tcW w:w="679" w:type="pct"/>
            <w:gridSpan w:val="2"/>
            <w:noWrap w:val="0"/>
            <w:vAlign w:val="center"/>
          </w:tcPr>
          <w:p>
            <w:pPr>
              <w:jc w:val="left"/>
              <w:rPr>
                <w:rFonts w:hint="default" w:ascii="Times New Roman" w:hAnsi="Times New Roman" w:eastAsia="黑体" w:cs="Times New Roman"/>
                <w:sz w:val="24"/>
                <w:szCs w:val="24"/>
              </w:rPr>
            </w:pPr>
          </w:p>
        </w:tc>
        <w:tc>
          <w:tcPr>
            <w:tcW w:w="756" w:type="pct"/>
            <w:gridSpan w:val="2"/>
            <w:noWrap w:val="0"/>
            <w:vAlign w:val="center"/>
          </w:tcPr>
          <w:p>
            <w:pPr>
              <w:jc w:val="left"/>
              <w:rPr>
                <w:rFonts w:hint="default" w:ascii="Times New Roman" w:hAnsi="Times New Roman" w:eastAsia="黑体" w:cs="Times New Roman"/>
                <w:sz w:val="24"/>
                <w:szCs w:val="24"/>
              </w:rPr>
            </w:pPr>
          </w:p>
        </w:tc>
        <w:tc>
          <w:tcPr>
            <w:tcW w:w="798" w:type="pct"/>
            <w:gridSpan w:val="2"/>
            <w:noWrap w:val="0"/>
            <w:vAlign w:val="center"/>
          </w:tcPr>
          <w:p>
            <w:pPr>
              <w:jc w:val="left"/>
              <w:rPr>
                <w:rFonts w:hint="default" w:ascii="Times New Roman" w:hAnsi="Times New Roman" w:eastAsia="黑体" w:cs="Times New Roman"/>
                <w:sz w:val="24"/>
                <w:szCs w:val="24"/>
              </w:rPr>
            </w:pPr>
          </w:p>
        </w:tc>
        <w:tc>
          <w:tcPr>
            <w:tcW w:w="712" w:type="pct"/>
            <w:noWrap w:val="0"/>
            <w:vAlign w:val="center"/>
          </w:tcPr>
          <w:p>
            <w:pPr>
              <w:jc w:val="left"/>
              <w:rPr>
                <w:rFonts w:hint="default" w:ascii="Times New Roman" w:hAnsi="Times New Roman" w:eastAsia="黑体" w:cs="Times New Roman"/>
                <w:sz w:val="24"/>
                <w:szCs w:val="24"/>
              </w:rPr>
            </w:pPr>
          </w:p>
        </w:tc>
        <w:tc>
          <w:tcPr>
            <w:tcW w:w="987" w:type="pct"/>
            <w:gridSpan w:val="2"/>
            <w:noWrap w:val="0"/>
            <w:vAlign w:val="center"/>
          </w:tcPr>
          <w:p>
            <w:pPr>
              <w:jc w:val="left"/>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292" w:type="pct"/>
            <w:noWrap w:val="0"/>
            <w:vAlign w:val="center"/>
          </w:tcPr>
          <w:p>
            <w:pPr>
              <w:jc w:val="left"/>
              <w:rPr>
                <w:rFonts w:hint="default" w:ascii="Times New Roman" w:hAnsi="Times New Roman" w:eastAsia="黑体" w:cs="Times New Roman"/>
                <w:sz w:val="24"/>
                <w:szCs w:val="24"/>
              </w:rPr>
            </w:pPr>
          </w:p>
        </w:tc>
        <w:tc>
          <w:tcPr>
            <w:tcW w:w="772" w:type="pct"/>
            <w:noWrap w:val="0"/>
            <w:vAlign w:val="center"/>
          </w:tcPr>
          <w:p>
            <w:pPr>
              <w:jc w:val="left"/>
              <w:rPr>
                <w:rFonts w:hint="default" w:ascii="Times New Roman" w:hAnsi="Times New Roman" w:eastAsia="黑体" w:cs="Times New Roman"/>
                <w:sz w:val="24"/>
                <w:szCs w:val="24"/>
              </w:rPr>
            </w:pPr>
          </w:p>
        </w:tc>
        <w:tc>
          <w:tcPr>
            <w:tcW w:w="679" w:type="pct"/>
            <w:gridSpan w:val="2"/>
            <w:noWrap w:val="0"/>
            <w:vAlign w:val="center"/>
          </w:tcPr>
          <w:p>
            <w:pPr>
              <w:jc w:val="left"/>
              <w:rPr>
                <w:rFonts w:hint="default" w:ascii="Times New Roman" w:hAnsi="Times New Roman" w:eastAsia="黑体" w:cs="Times New Roman"/>
                <w:sz w:val="24"/>
                <w:szCs w:val="24"/>
              </w:rPr>
            </w:pPr>
          </w:p>
        </w:tc>
        <w:tc>
          <w:tcPr>
            <w:tcW w:w="756" w:type="pct"/>
            <w:gridSpan w:val="2"/>
            <w:noWrap w:val="0"/>
            <w:vAlign w:val="center"/>
          </w:tcPr>
          <w:p>
            <w:pPr>
              <w:jc w:val="left"/>
              <w:rPr>
                <w:rFonts w:hint="default" w:ascii="Times New Roman" w:hAnsi="Times New Roman" w:eastAsia="黑体" w:cs="Times New Roman"/>
                <w:sz w:val="24"/>
                <w:szCs w:val="24"/>
              </w:rPr>
            </w:pPr>
          </w:p>
        </w:tc>
        <w:tc>
          <w:tcPr>
            <w:tcW w:w="798" w:type="pct"/>
            <w:gridSpan w:val="2"/>
            <w:noWrap w:val="0"/>
            <w:vAlign w:val="center"/>
          </w:tcPr>
          <w:p>
            <w:pPr>
              <w:jc w:val="left"/>
              <w:rPr>
                <w:rFonts w:hint="default" w:ascii="Times New Roman" w:hAnsi="Times New Roman" w:eastAsia="黑体" w:cs="Times New Roman"/>
                <w:sz w:val="24"/>
                <w:szCs w:val="24"/>
              </w:rPr>
            </w:pPr>
          </w:p>
        </w:tc>
        <w:tc>
          <w:tcPr>
            <w:tcW w:w="712" w:type="pct"/>
            <w:noWrap w:val="0"/>
            <w:vAlign w:val="center"/>
          </w:tcPr>
          <w:p>
            <w:pPr>
              <w:jc w:val="left"/>
              <w:rPr>
                <w:rFonts w:hint="default" w:ascii="Times New Roman" w:hAnsi="Times New Roman" w:eastAsia="黑体" w:cs="Times New Roman"/>
                <w:sz w:val="24"/>
                <w:szCs w:val="24"/>
              </w:rPr>
            </w:pPr>
          </w:p>
        </w:tc>
        <w:tc>
          <w:tcPr>
            <w:tcW w:w="987" w:type="pct"/>
            <w:gridSpan w:val="2"/>
            <w:noWrap w:val="0"/>
            <w:vAlign w:val="center"/>
          </w:tcPr>
          <w:p>
            <w:pPr>
              <w:jc w:val="left"/>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6" w:hRule="exact"/>
        </w:trPr>
        <w:tc>
          <w:tcPr>
            <w:tcW w:w="1065" w:type="pct"/>
            <w:gridSpan w:val="2"/>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事故经过情况</w:t>
            </w:r>
          </w:p>
        </w:tc>
        <w:tc>
          <w:tcPr>
            <w:tcW w:w="3934" w:type="pct"/>
            <w:gridSpan w:val="9"/>
            <w:noWrap w:val="0"/>
            <w:vAlign w:val="center"/>
          </w:tcPr>
          <w:p>
            <w:pPr>
              <w:jc w:val="left"/>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0" w:hRule="exact"/>
        </w:trPr>
        <w:tc>
          <w:tcPr>
            <w:tcW w:w="1065" w:type="pct"/>
            <w:gridSpan w:val="2"/>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报告人签字</w:t>
            </w:r>
          </w:p>
        </w:tc>
        <w:tc>
          <w:tcPr>
            <w:tcW w:w="628" w:type="pct"/>
            <w:noWrap w:val="0"/>
            <w:vAlign w:val="center"/>
          </w:tcPr>
          <w:p>
            <w:pPr>
              <w:jc w:val="left"/>
              <w:rPr>
                <w:rFonts w:hint="default" w:ascii="Times New Roman" w:hAnsi="Times New Roman" w:eastAsia="黑体" w:cs="Times New Roman"/>
                <w:sz w:val="24"/>
                <w:szCs w:val="24"/>
              </w:rPr>
            </w:pPr>
          </w:p>
        </w:tc>
        <w:tc>
          <w:tcPr>
            <w:tcW w:w="807" w:type="pct"/>
            <w:gridSpan w:val="3"/>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报告时间</w:t>
            </w:r>
          </w:p>
        </w:tc>
        <w:tc>
          <w:tcPr>
            <w:tcW w:w="2498" w:type="pct"/>
            <w:gridSpan w:val="5"/>
            <w:noWrap w:val="0"/>
            <w:vAlign w:val="center"/>
          </w:tcPr>
          <w:p>
            <w:pPr>
              <w:jc w:val="left"/>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年    月    日    时    分</w:t>
            </w:r>
          </w:p>
        </w:tc>
      </w:tr>
    </w:tbl>
    <w:p>
      <w:pPr>
        <w:keepNext w:val="0"/>
        <w:keepLines w:val="0"/>
        <w:pageBreakBefore w:val="0"/>
        <w:widowControl w:val="0"/>
        <w:tabs>
          <w:tab w:val="left" w:pos="1260"/>
        </w:tabs>
        <w:kinsoku/>
        <w:wordWrap/>
        <w:overflowPunct/>
        <w:topLinePunct w:val="0"/>
        <w:autoSpaceDE/>
        <w:autoSpaceDN/>
        <w:bidi w:val="0"/>
        <w:adjustRightInd/>
        <w:snapToGrid/>
        <w:spacing w:line="40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注：射线装置的“主要参数”是指X射线机的电流（mA）和电压（kV）、加速器线束能量等主要性能参数。</w:t>
      </w:r>
    </w:p>
    <w:p>
      <w:pPr>
        <w:tabs>
          <w:tab w:val="left" w:pos="1260"/>
        </w:tabs>
        <w:spacing w:line="220" w:lineRule="exact"/>
        <w:rPr>
          <w:rFonts w:eastAsia="黑体"/>
          <w:szCs w:val="21"/>
        </w:rPr>
        <w:sectPr>
          <w:pgSz w:w="11906" w:h="16838"/>
          <w:pgMar w:top="2154" w:right="1474" w:bottom="1984" w:left="1587" w:header="851" w:footer="992" w:gutter="0"/>
          <w:pgNumType w:fmt="decimal"/>
          <w:cols w:space="720" w:num="1"/>
          <w:docGrid w:type="lines" w:linePitch="312" w:charSpace="0"/>
        </w:sectPr>
      </w:pPr>
    </w:p>
    <w:p>
      <w:pPr>
        <w:spacing w:line="580" w:lineRule="exact"/>
        <w:jc w:val="left"/>
        <w:outlineLvl w:val="0"/>
        <w:rPr>
          <w:rFonts w:hint="eastAsia" w:ascii="黑体" w:hAnsi="黑体" w:eastAsia="黑体" w:cs="黑体"/>
          <w:sz w:val="44"/>
          <w:szCs w:val="44"/>
        </w:rPr>
      </w:pPr>
      <w:bookmarkStart w:id="90" w:name="_Toc107236155"/>
      <w:r>
        <w:rPr>
          <w:rFonts w:hint="default" w:ascii="Times New Roman" w:hAnsi="Times New Roman" w:eastAsia="黑体" w:cs="Times New Roman"/>
          <w:sz w:val="32"/>
          <w:szCs w:val="32"/>
        </w:rPr>
        <w:t>附件3</w:t>
      </w:r>
      <w:r>
        <w:rPr>
          <w:rFonts w:hint="eastAsia" w:ascii="黑体" w:hAnsi="黑体" w:eastAsia="黑体" w:cs="黑体"/>
          <w:sz w:val="44"/>
          <w:szCs w:val="44"/>
        </w:rPr>
        <w:t xml:space="preserve">     </w:t>
      </w:r>
    </w:p>
    <w:p>
      <w:pPr>
        <w:pStyle w:val="2"/>
        <w:keepNext w:val="0"/>
        <w:keepLines w:val="0"/>
        <w:pageBreakBefore w:val="0"/>
        <w:widowControl w:val="0"/>
        <w:kinsoku/>
        <w:wordWrap/>
        <w:overflowPunct/>
        <w:topLinePunct w:val="0"/>
        <w:autoSpaceDE/>
        <w:autoSpaceDN/>
        <w:bidi w:val="0"/>
        <w:adjustRightInd/>
        <w:snapToGrid/>
        <w:spacing w:line="300" w:lineRule="exact"/>
        <w:ind w:left="3362"/>
        <w:textAlignment w:val="auto"/>
        <w:rPr>
          <w:rFonts w:hint="eastAsia"/>
        </w:rPr>
      </w:pPr>
    </w:p>
    <w:p>
      <w:pPr>
        <w:spacing w:line="580" w:lineRule="exact"/>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辐射事故后续报告表</w:t>
      </w:r>
      <w:bookmarkEnd w:id="90"/>
    </w:p>
    <w:p>
      <w:pPr>
        <w:pStyle w:val="2"/>
        <w:keepNext w:val="0"/>
        <w:keepLines w:val="0"/>
        <w:pageBreakBefore w:val="0"/>
        <w:widowControl w:val="0"/>
        <w:kinsoku/>
        <w:wordWrap/>
        <w:overflowPunct/>
        <w:topLinePunct w:val="0"/>
        <w:autoSpaceDE/>
        <w:autoSpaceDN/>
        <w:bidi w:val="0"/>
        <w:adjustRightInd/>
        <w:snapToGrid/>
        <w:spacing w:line="300" w:lineRule="exact"/>
        <w:ind w:left="3362"/>
        <w:textAlignment w:val="auto"/>
      </w:pPr>
    </w:p>
    <w:tbl>
      <w:tblPr>
        <w:tblStyle w:val="26"/>
        <w:tblW w:w="4997"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550"/>
        <w:gridCol w:w="1656"/>
        <w:gridCol w:w="1101"/>
        <w:gridCol w:w="953"/>
        <w:gridCol w:w="1221"/>
        <w:gridCol w:w="216"/>
        <w:gridCol w:w="1053"/>
        <w:gridCol w:w="563"/>
        <w:gridCol w:w="17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4" w:hRule="exact"/>
        </w:trPr>
        <w:tc>
          <w:tcPr>
            <w:tcW w:w="1218" w:type="pct"/>
            <w:gridSpan w:val="2"/>
            <w:vMerge w:val="restar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事故单位</w:t>
            </w:r>
          </w:p>
        </w:tc>
        <w:tc>
          <w:tcPr>
            <w:tcW w:w="1808" w:type="pct"/>
            <w:gridSpan w:val="3"/>
            <w:noWrap w:val="0"/>
            <w:vAlign w:val="bottom"/>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名称：</w:t>
            </w:r>
          </w:p>
        </w:tc>
        <w:tc>
          <w:tcPr>
            <w:tcW w:w="1973" w:type="pct"/>
            <w:gridSpan w:val="4"/>
            <w:noWrap w:val="0"/>
            <w:vAlign w:val="bottom"/>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地址：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8" w:hRule="exact"/>
        </w:trPr>
        <w:tc>
          <w:tcPr>
            <w:tcW w:w="1218" w:type="pct"/>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1808" w:type="pct"/>
            <w:gridSpan w:val="3"/>
            <w:noWrap w:val="0"/>
            <w:vAlign w:val="bottom"/>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许可证号：</w:t>
            </w:r>
          </w:p>
        </w:tc>
        <w:tc>
          <w:tcPr>
            <w:tcW w:w="1973" w:type="pct"/>
            <w:gridSpan w:val="4"/>
            <w:noWrap w:val="0"/>
            <w:vAlign w:val="bottom"/>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许可证审批机关：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8" w:hRule="exact"/>
        </w:trPr>
        <w:tc>
          <w:tcPr>
            <w:tcW w:w="1218"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事故发生时间</w:t>
            </w:r>
          </w:p>
        </w:tc>
        <w:tc>
          <w:tcPr>
            <w:tcW w:w="1808"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p>
        </w:tc>
        <w:tc>
          <w:tcPr>
            <w:tcW w:w="700"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事故报告时间</w:t>
            </w:r>
          </w:p>
        </w:tc>
        <w:tc>
          <w:tcPr>
            <w:tcW w:w="1273"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left"/>
              <w:textAlignment w:val="auto"/>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8" w:hRule="exact"/>
        </w:trPr>
        <w:tc>
          <w:tcPr>
            <w:tcW w:w="1218"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事故发生地点</w:t>
            </w:r>
          </w:p>
        </w:tc>
        <w:tc>
          <w:tcPr>
            <w:tcW w:w="3781" w:type="pct"/>
            <w:gridSpan w:val="7"/>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2" w:hRule="exact"/>
        </w:trPr>
        <w:tc>
          <w:tcPr>
            <w:tcW w:w="1218" w:type="pct"/>
            <w:gridSpan w:val="2"/>
            <w:vMerge w:val="restar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  故</w:t>
            </w: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类  型</w:t>
            </w:r>
          </w:p>
        </w:tc>
        <w:tc>
          <w:tcPr>
            <w:tcW w:w="1808"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□人员受照 </w:t>
            </w: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□人员污染</w:t>
            </w:r>
          </w:p>
        </w:tc>
        <w:tc>
          <w:tcPr>
            <w:tcW w:w="1973" w:type="pct"/>
            <w:gridSpan w:val="4"/>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受照人数：      </w:t>
            </w: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受污染人数：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4" w:hRule="exact"/>
        </w:trPr>
        <w:tc>
          <w:tcPr>
            <w:tcW w:w="1218" w:type="pct"/>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p>
        </w:tc>
        <w:tc>
          <w:tcPr>
            <w:tcW w:w="1808"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□丢失  □被盗  □失控</w:t>
            </w:r>
          </w:p>
        </w:tc>
        <w:tc>
          <w:tcPr>
            <w:tcW w:w="1973" w:type="pct"/>
            <w:gridSpan w:val="4"/>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事故源数量：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3" w:hRule="exact"/>
        </w:trPr>
        <w:tc>
          <w:tcPr>
            <w:tcW w:w="1218" w:type="pct"/>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p>
        </w:tc>
        <w:tc>
          <w:tcPr>
            <w:tcW w:w="1808"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□放射性污染</w:t>
            </w:r>
          </w:p>
        </w:tc>
        <w:tc>
          <w:tcPr>
            <w:tcW w:w="1973" w:type="pct"/>
            <w:gridSpan w:val="4"/>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污染面积（m2）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7" w:hRule="exact"/>
        </w:trPr>
        <w:tc>
          <w:tcPr>
            <w:tcW w:w="304"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序号</w:t>
            </w:r>
          </w:p>
        </w:tc>
        <w:tc>
          <w:tcPr>
            <w:tcW w:w="913"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事故源核素名称</w:t>
            </w:r>
          </w:p>
        </w:tc>
        <w:tc>
          <w:tcPr>
            <w:tcW w:w="608"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出场活度（Bq）</w:t>
            </w:r>
          </w:p>
        </w:tc>
        <w:tc>
          <w:tcPr>
            <w:tcW w:w="526"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出厂日期</w:t>
            </w:r>
          </w:p>
        </w:tc>
        <w:tc>
          <w:tcPr>
            <w:tcW w:w="793"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放射源编码</w:t>
            </w:r>
          </w:p>
        </w:tc>
        <w:tc>
          <w:tcPr>
            <w:tcW w:w="892"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事故时活度</w:t>
            </w: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（Bq）</w:t>
            </w:r>
          </w:p>
        </w:tc>
        <w:tc>
          <w:tcPr>
            <w:tcW w:w="960"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非密封放射性物质状态（固/液态）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304"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913"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608"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526"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793"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892"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960"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304"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913"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608"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526"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793"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892"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960"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9" w:hRule="exact"/>
        </w:trPr>
        <w:tc>
          <w:tcPr>
            <w:tcW w:w="304"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序号</w:t>
            </w:r>
          </w:p>
        </w:tc>
        <w:tc>
          <w:tcPr>
            <w:tcW w:w="913"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射线装置名称</w:t>
            </w:r>
          </w:p>
        </w:tc>
        <w:tc>
          <w:tcPr>
            <w:tcW w:w="608"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型号</w:t>
            </w:r>
          </w:p>
        </w:tc>
        <w:tc>
          <w:tcPr>
            <w:tcW w:w="526"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生产厂家</w:t>
            </w:r>
          </w:p>
        </w:tc>
        <w:tc>
          <w:tcPr>
            <w:tcW w:w="793"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设备编号</w:t>
            </w:r>
          </w:p>
        </w:tc>
        <w:tc>
          <w:tcPr>
            <w:tcW w:w="892"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所在场所</w:t>
            </w:r>
          </w:p>
        </w:tc>
        <w:tc>
          <w:tcPr>
            <w:tcW w:w="960" w:type="pc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主要参数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8" w:hRule="exact"/>
        </w:trPr>
        <w:tc>
          <w:tcPr>
            <w:tcW w:w="304"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913"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608"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526"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793"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892"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960"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2" w:hRule="exact"/>
        </w:trPr>
        <w:tc>
          <w:tcPr>
            <w:tcW w:w="304"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913"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608"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526"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793"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892"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960" w:type="pc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9" w:hRule="exact"/>
        </w:trPr>
        <w:tc>
          <w:tcPr>
            <w:tcW w:w="1218"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 故 级 别</w:t>
            </w:r>
          </w:p>
        </w:tc>
        <w:tc>
          <w:tcPr>
            <w:tcW w:w="3781" w:type="pct"/>
            <w:gridSpan w:val="7"/>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□一般辐射事故  □较大辐射事故  □重大辐射事故 </w:t>
            </w: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□特别重大辐射事故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6" w:hRule="exact"/>
        </w:trPr>
        <w:tc>
          <w:tcPr>
            <w:tcW w:w="1218"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事故经过</w:t>
            </w: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和处理情况</w:t>
            </w:r>
          </w:p>
        </w:tc>
        <w:tc>
          <w:tcPr>
            <w:tcW w:w="3781" w:type="pct"/>
            <w:gridSpan w:val="7"/>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1218" w:type="pct"/>
            <w:gridSpan w:val="2"/>
            <w:vMerge w:val="restart"/>
            <w:noWrap w:val="0"/>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事故发生地</w:t>
            </w: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生态环境部门</w:t>
            </w:r>
          </w:p>
        </w:tc>
        <w:tc>
          <w:tcPr>
            <w:tcW w:w="1808"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联系人：</w:t>
            </w:r>
          </w:p>
        </w:tc>
        <w:tc>
          <w:tcPr>
            <w:tcW w:w="1973" w:type="pct"/>
            <w:gridSpan w:val="4"/>
            <w:vMerge w:val="restart"/>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1218" w:type="pct"/>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1808"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电  话：</w:t>
            </w:r>
          </w:p>
        </w:tc>
        <w:tc>
          <w:tcPr>
            <w:tcW w:w="1973" w:type="pct"/>
            <w:gridSpan w:val="4"/>
            <w:vMerge w:val="continue"/>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1218" w:type="pct"/>
            <w:gridSpan w:val="2"/>
            <w:vMerge w:val="continue"/>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c>
          <w:tcPr>
            <w:tcW w:w="1808"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传  真：</w:t>
            </w:r>
          </w:p>
        </w:tc>
        <w:tc>
          <w:tcPr>
            <w:tcW w:w="1973" w:type="pct"/>
            <w:gridSpan w:val="4"/>
            <w:vMerge w:val="continue"/>
            <w:noWrap w:val="0"/>
            <w:vAlign w:val="center"/>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黑体" w:cs="Times New Roman"/>
                <w:sz w:val="24"/>
                <w:szCs w:val="24"/>
              </w:rPr>
            </w:pPr>
          </w:p>
        </w:tc>
      </w:tr>
    </w:tbl>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default" w:ascii="Times New Roman" w:hAnsi="Times New Roman" w:cs="Times New Roman"/>
        </w:rPr>
      </w:pPr>
      <w:r>
        <w:rPr>
          <w:rFonts w:hint="eastAsia" w:ascii="仿宋_GB2312" w:hAnsi="仿宋_GB2312" w:eastAsia="仿宋_GB2312" w:cs="仿宋_GB2312"/>
          <w:sz w:val="24"/>
          <w:szCs w:val="24"/>
        </w:rPr>
        <w:t>注：射线装置的“主要参数”是指X射线机的电流（mA）和电压（kV）、加速器线束能量等主要性能参数</w:t>
      </w:r>
    </w:p>
    <w:sectPr>
      <w:footerReference r:id="rId8" w:type="default"/>
      <w:pgSz w:w="11906" w:h="16838"/>
      <w:pgMar w:top="2098" w:right="1474" w:bottom="1984" w:left="1587" w:header="851" w:footer="1361" w:gutter="0"/>
      <w:pgNumType w:fmt="decimal"/>
      <w:cols w:space="720"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 w:name="楷体">
    <w:panose1 w:val="02010609060101010101"/>
    <w:charset w:val="86"/>
    <w:family w:val="roma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TimesNewRomanPSMT">
    <w:altName w:val="Times New Roman"/>
    <w:panose1 w:val="00000000000000000000"/>
    <w:charset w:val="00"/>
    <w:family w:val="roman"/>
    <w:pitch w:val="default"/>
    <w:sig w:usb0="00000000" w:usb1="00000000" w:usb2="00000000" w:usb3="00000000" w:csb0="00040001" w:csb1="00000000"/>
  </w:font>
  <w:font w:name="文星简小标宋">
    <w:altName w:val="宋体"/>
    <w:panose1 w:val="00000000000000000000"/>
    <w:charset w:val="86"/>
    <w:family w:val="modern"/>
    <w:pitch w:val="default"/>
    <w:sig w:usb0="00000001" w:usb1="080E0000" w:usb2="0000001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仿宋_GBK">
    <w:altName w:val="Arial Unicode MS"/>
    <w:panose1 w:val="02000000000000000000"/>
    <w:charset w:val="86"/>
    <w:family w:val="script"/>
    <w:pitch w:val="default"/>
    <w:sig w:usb0="A00002BF" w:usb1="38CF7CFA"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p>
  <w:p>
    <w:pPr>
      <w:pStyle w:val="1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p>
  <w:p>
    <w:pPr>
      <w:pStyle w:val="1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p>
  <w:p>
    <w:pPr>
      <w:pStyle w:val="1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p>
  <w:p>
    <w:pPr>
      <w:pStyle w:val="14"/>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both"/>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20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7</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vert="horz" wrap="none" lIns="0" tIns="0" rIns="0" bIns="0" anchor="t" anchorCtr="0" upright="0">
                      <a:spAutoFit/>
                    </wps:bodyPr>
                  </wps:wsp>
                </a:graphicData>
              </a:graphic>
            </wp:anchor>
          </w:drawing>
        </mc:Choice>
        <mc:Fallback>
          <w:pict>
            <v:shape id="文本框 205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F44ODjgAQAAwQMAAA4AAAAA&#10;AAAAAQAgAAAAHgEAAGRycy9lMm9Eb2MueG1sUEsFBgAAAAAGAAYAWQEAAHAFAAAAAA==&#10;">
              <v:fill on="f" focussize="0,0"/>
              <v:stroke on="f"/>
              <v:imagedata o:title=""/>
              <o:lock v:ext="edit" aspectratio="f"/>
              <v:textbox inset="0mm,0mm,0mm,0mm" style="mso-fit-shape-to-text:t;">
                <w:txbxContent>
                  <w:p>
                    <w:pPr>
                      <w:pStyle w:val="1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7</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p>
    <w:pPr>
      <w:pStyle w:val="14"/>
      <w:ind w:right="360"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7560" w:firstLineChars="2700"/>
      <w:rPr>
        <w:rFonts w:hint="eastAsia" w:ascii="宋体" w:hAnsi="宋体" w:eastAsia="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posOffset>0</wp:posOffset>
              </wp:positionH>
              <wp:positionV relativeFrom="paragraph">
                <wp:posOffset>225425</wp:posOffset>
              </wp:positionV>
              <wp:extent cx="1828800" cy="1828800"/>
              <wp:effectExtent l="0" t="0" r="0" b="0"/>
              <wp:wrapNone/>
              <wp:docPr id="2" name="文本框 20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34</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vert="horz" wrap="none" lIns="0" tIns="0" rIns="0" bIns="0" anchor="t" anchorCtr="0" upright="0">
                      <a:spAutoFit/>
                    </wps:bodyPr>
                  </wps:wsp>
                </a:graphicData>
              </a:graphic>
            </wp:anchor>
          </w:drawing>
        </mc:Choice>
        <mc:Fallback>
          <w:pict>
            <v:shape id="文本框 2057" o:spid="_x0000_s1026" o:spt="202" type="#_x0000_t202" style="position:absolute;left:0pt;margin-left:0pt;margin-top:17.75pt;height:144pt;width:144pt;mso-position-horizontal-relative:margin;mso-wrap-style:none;z-index:251660288;mso-width-relative:page;mso-height-relative:page;" filled="f" stroked="f" coordsize="21600,21600" o:gfxdata="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FGGheLTAAAABwEAAA8AAAAA&#10;AAAAAQAgAAAAIgAAAGRycy9kb3ducmV2LnhtbFBLAQIUABQAAAAIAIdO4kD1YPZg4AEAAMEDAAAO&#10;AAAAAAAAAAEAIAAAACIBAABkcnMvZTJvRG9jLnhtbFBLBQYAAAAABgAGAFkBAAB0BQAAAAA=&#10;">
              <v:fill on="f" focussize="0,0"/>
              <v:stroke on="f"/>
              <v:imagedata o:title=""/>
              <o:lock v:ext="edit" aspectratio="f"/>
              <v:textbox inset="0mm,0mm,0mm,0mm" style="mso-fit-shape-to-text:t;">
                <w:txbxContent>
                  <w:p>
                    <w:pPr>
                      <w:pStyle w:val="1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34</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58"/>
  <w:drawingGridVerticalSpacing w:val="579"/>
  <w:displayHorizontalDrawingGridEvery w:val="1"/>
  <w:displayVerticalDrawingGridEvery w:val="1"/>
  <w:noPunctuationKerning w:val="1"/>
  <w:characterSpacingControl w:val="compressPunctuation"/>
  <w:hdrShapeDefaults>
    <o:shapelayout v:ext="edit">
      <o:idmap v:ext="edit" data="2,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ZjMjZkNDhhMTc5ZTQ4YzVmYjAwM2MxNGRlMjFkNmYifQ=="/>
  </w:docVars>
  <w:rsids>
    <w:rsidRoot w:val="25824DC4"/>
    <w:rsid w:val="000019FF"/>
    <w:rsid w:val="00004C7E"/>
    <w:rsid w:val="00005241"/>
    <w:rsid w:val="00014D90"/>
    <w:rsid w:val="000402D4"/>
    <w:rsid w:val="00047FF0"/>
    <w:rsid w:val="00054365"/>
    <w:rsid w:val="00054966"/>
    <w:rsid w:val="0007156C"/>
    <w:rsid w:val="000805C0"/>
    <w:rsid w:val="00090C80"/>
    <w:rsid w:val="000B5999"/>
    <w:rsid w:val="000C5D05"/>
    <w:rsid w:val="000C6F34"/>
    <w:rsid w:val="000E1856"/>
    <w:rsid w:val="000F412E"/>
    <w:rsid w:val="000F479F"/>
    <w:rsid w:val="00112DFF"/>
    <w:rsid w:val="001168C0"/>
    <w:rsid w:val="00116D15"/>
    <w:rsid w:val="00123D38"/>
    <w:rsid w:val="001308BD"/>
    <w:rsid w:val="0014177D"/>
    <w:rsid w:val="00145F44"/>
    <w:rsid w:val="00154AF7"/>
    <w:rsid w:val="00154B56"/>
    <w:rsid w:val="00185EC4"/>
    <w:rsid w:val="001974BE"/>
    <w:rsid w:val="001C069C"/>
    <w:rsid w:val="001C1BF8"/>
    <w:rsid w:val="001D70A0"/>
    <w:rsid w:val="001E39C7"/>
    <w:rsid w:val="001F3609"/>
    <w:rsid w:val="00201040"/>
    <w:rsid w:val="0020607A"/>
    <w:rsid w:val="00217B9A"/>
    <w:rsid w:val="002266F3"/>
    <w:rsid w:val="00256091"/>
    <w:rsid w:val="00263247"/>
    <w:rsid w:val="00280F51"/>
    <w:rsid w:val="0029335E"/>
    <w:rsid w:val="002A1762"/>
    <w:rsid w:val="002A5908"/>
    <w:rsid w:val="002C057E"/>
    <w:rsid w:val="002C3BF9"/>
    <w:rsid w:val="002D0349"/>
    <w:rsid w:val="002E413D"/>
    <w:rsid w:val="002E7EFB"/>
    <w:rsid w:val="002F1481"/>
    <w:rsid w:val="00315FE2"/>
    <w:rsid w:val="003210D9"/>
    <w:rsid w:val="00340399"/>
    <w:rsid w:val="00340FB0"/>
    <w:rsid w:val="00343ABE"/>
    <w:rsid w:val="00343C02"/>
    <w:rsid w:val="00347902"/>
    <w:rsid w:val="00354CE1"/>
    <w:rsid w:val="00364BFB"/>
    <w:rsid w:val="003662A5"/>
    <w:rsid w:val="0037211B"/>
    <w:rsid w:val="0038620F"/>
    <w:rsid w:val="00397E9C"/>
    <w:rsid w:val="003A05EE"/>
    <w:rsid w:val="003C5731"/>
    <w:rsid w:val="003D3E38"/>
    <w:rsid w:val="003E1CE8"/>
    <w:rsid w:val="003E2065"/>
    <w:rsid w:val="003E58CB"/>
    <w:rsid w:val="003E7EE2"/>
    <w:rsid w:val="00416FB4"/>
    <w:rsid w:val="00417B33"/>
    <w:rsid w:val="0043641D"/>
    <w:rsid w:val="00451506"/>
    <w:rsid w:val="00456589"/>
    <w:rsid w:val="004644E8"/>
    <w:rsid w:val="0046779C"/>
    <w:rsid w:val="00477BE2"/>
    <w:rsid w:val="00493577"/>
    <w:rsid w:val="004C3B54"/>
    <w:rsid w:val="004D0468"/>
    <w:rsid w:val="004E0E07"/>
    <w:rsid w:val="004E1FEB"/>
    <w:rsid w:val="004F02EC"/>
    <w:rsid w:val="004F1F26"/>
    <w:rsid w:val="00526B6B"/>
    <w:rsid w:val="00533B97"/>
    <w:rsid w:val="0053514F"/>
    <w:rsid w:val="0054427D"/>
    <w:rsid w:val="005452DB"/>
    <w:rsid w:val="0055095B"/>
    <w:rsid w:val="005534AF"/>
    <w:rsid w:val="00557010"/>
    <w:rsid w:val="005573C9"/>
    <w:rsid w:val="00570E8C"/>
    <w:rsid w:val="00571697"/>
    <w:rsid w:val="00596F92"/>
    <w:rsid w:val="005B03F2"/>
    <w:rsid w:val="005E1263"/>
    <w:rsid w:val="005F4751"/>
    <w:rsid w:val="005F7C68"/>
    <w:rsid w:val="00604717"/>
    <w:rsid w:val="006056BD"/>
    <w:rsid w:val="00613D91"/>
    <w:rsid w:val="00613DA9"/>
    <w:rsid w:val="00625E86"/>
    <w:rsid w:val="0065642A"/>
    <w:rsid w:val="00667553"/>
    <w:rsid w:val="00694E67"/>
    <w:rsid w:val="006A35F1"/>
    <w:rsid w:val="006A7CB3"/>
    <w:rsid w:val="006B4B82"/>
    <w:rsid w:val="006E5CA2"/>
    <w:rsid w:val="006E66AE"/>
    <w:rsid w:val="00703195"/>
    <w:rsid w:val="007054D9"/>
    <w:rsid w:val="00714258"/>
    <w:rsid w:val="00715344"/>
    <w:rsid w:val="00745413"/>
    <w:rsid w:val="007455C9"/>
    <w:rsid w:val="0074565B"/>
    <w:rsid w:val="007458A4"/>
    <w:rsid w:val="00752B5A"/>
    <w:rsid w:val="007566AE"/>
    <w:rsid w:val="00757A2D"/>
    <w:rsid w:val="00761236"/>
    <w:rsid w:val="00764D1F"/>
    <w:rsid w:val="007660A6"/>
    <w:rsid w:val="00770085"/>
    <w:rsid w:val="007718D3"/>
    <w:rsid w:val="00772499"/>
    <w:rsid w:val="007876A3"/>
    <w:rsid w:val="00793CCB"/>
    <w:rsid w:val="007A062C"/>
    <w:rsid w:val="007C7F98"/>
    <w:rsid w:val="007D01E3"/>
    <w:rsid w:val="007E639D"/>
    <w:rsid w:val="008325EB"/>
    <w:rsid w:val="00832BFC"/>
    <w:rsid w:val="00834317"/>
    <w:rsid w:val="00836A60"/>
    <w:rsid w:val="008438DD"/>
    <w:rsid w:val="00843A12"/>
    <w:rsid w:val="008448E1"/>
    <w:rsid w:val="00845E05"/>
    <w:rsid w:val="008522E3"/>
    <w:rsid w:val="0085593F"/>
    <w:rsid w:val="00861D27"/>
    <w:rsid w:val="008625CA"/>
    <w:rsid w:val="00871491"/>
    <w:rsid w:val="00882A89"/>
    <w:rsid w:val="00890F08"/>
    <w:rsid w:val="008942FA"/>
    <w:rsid w:val="008A001C"/>
    <w:rsid w:val="008A059B"/>
    <w:rsid w:val="008A0B74"/>
    <w:rsid w:val="008A6A2F"/>
    <w:rsid w:val="008B458D"/>
    <w:rsid w:val="008B5D8A"/>
    <w:rsid w:val="008B7AE2"/>
    <w:rsid w:val="009067D3"/>
    <w:rsid w:val="009120B3"/>
    <w:rsid w:val="00916732"/>
    <w:rsid w:val="0091713C"/>
    <w:rsid w:val="00917CEA"/>
    <w:rsid w:val="00923AE6"/>
    <w:rsid w:val="00933CD3"/>
    <w:rsid w:val="00935DBE"/>
    <w:rsid w:val="00937405"/>
    <w:rsid w:val="00954081"/>
    <w:rsid w:val="00964126"/>
    <w:rsid w:val="0096742B"/>
    <w:rsid w:val="00994695"/>
    <w:rsid w:val="00996958"/>
    <w:rsid w:val="009C0A33"/>
    <w:rsid w:val="009F11AF"/>
    <w:rsid w:val="00A30A8E"/>
    <w:rsid w:val="00A41E04"/>
    <w:rsid w:val="00A43B58"/>
    <w:rsid w:val="00A52014"/>
    <w:rsid w:val="00A64C4B"/>
    <w:rsid w:val="00A81F05"/>
    <w:rsid w:val="00A92332"/>
    <w:rsid w:val="00AB5E9E"/>
    <w:rsid w:val="00AC02BB"/>
    <w:rsid w:val="00AC0860"/>
    <w:rsid w:val="00AD396F"/>
    <w:rsid w:val="00AE3229"/>
    <w:rsid w:val="00AE33EF"/>
    <w:rsid w:val="00AF2E6B"/>
    <w:rsid w:val="00B07D38"/>
    <w:rsid w:val="00B1163B"/>
    <w:rsid w:val="00B26743"/>
    <w:rsid w:val="00B32EF5"/>
    <w:rsid w:val="00B373D1"/>
    <w:rsid w:val="00B52D06"/>
    <w:rsid w:val="00B8225A"/>
    <w:rsid w:val="00B918BA"/>
    <w:rsid w:val="00B974F5"/>
    <w:rsid w:val="00BA3560"/>
    <w:rsid w:val="00BA3B7D"/>
    <w:rsid w:val="00BB7A45"/>
    <w:rsid w:val="00BD4EC3"/>
    <w:rsid w:val="00BE68F7"/>
    <w:rsid w:val="00BF2AD7"/>
    <w:rsid w:val="00C070E1"/>
    <w:rsid w:val="00C134C4"/>
    <w:rsid w:val="00C14BB7"/>
    <w:rsid w:val="00C15DA7"/>
    <w:rsid w:val="00C2334E"/>
    <w:rsid w:val="00C301E8"/>
    <w:rsid w:val="00C45320"/>
    <w:rsid w:val="00C45B32"/>
    <w:rsid w:val="00C45FD4"/>
    <w:rsid w:val="00C51A5A"/>
    <w:rsid w:val="00C5410C"/>
    <w:rsid w:val="00C5427A"/>
    <w:rsid w:val="00C60366"/>
    <w:rsid w:val="00C6256E"/>
    <w:rsid w:val="00C74C45"/>
    <w:rsid w:val="00C86767"/>
    <w:rsid w:val="00C96F34"/>
    <w:rsid w:val="00CA31C1"/>
    <w:rsid w:val="00CA515D"/>
    <w:rsid w:val="00CA6255"/>
    <w:rsid w:val="00CB5FEC"/>
    <w:rsid w:val="00D00CEC"/>
    <w:rsid w:val="00D05F83"/>
    <w:rsid w:val="00D07C41"/>
    <w:rsid w:val="00D216EB"/>
    <w:rsid w:val="00D33F65"/>
    <w:rsid w:val="00D3652A"/>
    <w:rsid w:val="00D47F4F"/>
    <w:rsid w:val="00D51FBB"/>
    <w:rsid w:val="00D54BDA"/>
    <w:rsid w:val="00D64B2A"/>
    <w:rsid w:val="00DB600D"/>
    <w:rsid w:val="00DC22D8"/>
    <w:rsid w:val="00DD6A1B"/>
    <w:rsid w:val="00DE3EEA"/>
    <w:rsid w:val="00DF2489"/>
    <w:rsid w:val="00DF4D96"/>
    <w:rsid w:val="00E214AE"/>
    <w:rsid w:val="00E21BFC"/>
    <w:rsid w:val="00E24A13"/>
    <w:rsid w:val="00E35039"/>
    <w:rsid w:val="00E4666B"/>
    <w:rsid w:val="00E46AD8"/>
    <w:rsid w:val="00E71BDB"/>
    <w:rsid w:val="00E83CE6"/>
    <w:rsid w:val="00E95919"/>
    <w:rsid w:val="00EA383D"/>
    <w:rsid w:val="00EB1A7E"/>
    <w:rsid w:val="00EC3FC1"/>
    <w:rsid w:val="00EE78AF"/>
    <w:rsid w:val="00EF6E12"/>
    <w:rsid w:val="00F12BE7"/>
    <w:rsid w:val="00F24C01"/>
    <w:rsid w:val="00F50B7D"/>
    <w:rsid w:val="00F55FA5"/>
    <w:rsid w:val="00F62115"/>
    <w:rsid w:val="00F64191"/>
    <w:rsid w:val="00F76FB0"/>
    <w:rsid w:val="00F82422"/>
    <w:rsid w:val="00F834CD"/>
    <w:rsid w:val="00F851DA"/>
    <w:rsid w:val="00FA12C4"/>
    <w:rsid w:val="00FC053F"/>
    <w:rsid w:val="00FC1095"/>
    <w:rsid w:val="00FC61F1"/>
    <w:rsid w:val="00FD23E3"/>
    <w:rsid w:val="01545319"/>
    <w:rsid w:val="017B7F83"/>
    <w:rsid w:val="01A13C11"/>
    <w:rsid w:val="028A66F3"/>
    <w:rsid w:val="029668B9"/>
    <w:rsid w:val="02B249DD"/>
    <w:rsid w:val="02CD0EB7"/>
    <w:rsid w:val="02CE0C47"/>
    <w:rsid w:val="03A23D4C"/>
    <w:rsid w:val="03E07B6A"/>
    <w:rsid w:val="03EB7DE9"/>
    <w:rsid w:val="04087321"/>
    <w:rsid w:val="04173C52"/>
    <w:rsid w:val="04587CAC"/>
    <w:rsid w:val="04BF1FD2"/>
    <w:rsid w:val="04C3001C"/>
    <w:rsid w:val="05136674"/>
    <w:rsid w:val="05213935"/>
    <w:rsid w:val="05DB115D"/>
    <w:rsid w:val="05FB095D"/>
    <w:rsid w:val="060E25DF"/>
    <w:rsid w:val="06495087"/>
    <w:rsid w:val="06B45E8D"/>
    <w:rsid w:val="06D67F3B"/>
    <w:rsid w:val="06F40BE3"/>
    <w:rsid w:val="0718724A"/>
    <w:rsid w:val="076B5410"/>
    <w:rsid w:val="077D2F09"/>
    <w:rsid w:val="078859F0"/>
    <w:rsid w:val="07BA7EFE"/>
    <w:rsid w:val="07BB543C"/>
    <w:rsid w:val="086B6BD3"/>
    <w:rsid w:val="08794F3A"/>
    <w:rsid w:val="08940DD2"/>
    <w:rsid w:val="08E1757A"/>
    <w:rsid w:val="099A49C9"/>
    <w:rsid w:val="0A230241"/>
    <w:rsid w:val="0A5F74E5"/>
    <w:rsid w:val="0B0525AE"/>
    <w:rsid w:val="0B3D6537"/>
    <w:rsid w:val="0BF94F27"/>
    <w:rsid w:val="0C644CC2"/>
    <w:rsid w:val="0CB72015"/>
    <w:rsid w:val="0DED44F5"/>
    <w:rsid w:val="0EB11A7C"/>
    <w:rsid w:val="0FA00D24"/>
    <w:rsid w:val="0FDC1D55"/>
    <w:rsid w:val="103B4825"/>
    <w:rsid w:val="103B7AAB"/>
    <w:rsid w:val="10953652"/>
    <w:rsid w:val="10BC26A9"/>
    <w:rsid w:val="10C6276C"/>
    <w:rsid w:val="10D916A1"/>
    <w:rsid w:val="11331E0B"/>
    <w:rsid w:val="113D73D8"/>
    <w:rsid w:val="117C60E6"/>
    <w:rsid w:val="118146A4"/>
    <w:rsid w:val="11ED6280"/>
    <w:rsid w:val="124604A7"/>
    <w:rsid w:val="12BF837E"/>
    <w:rsid w:val="12D61929"/>
    <w:rsid w:val="133C106A"/>
    <w:rsid w:val="13763B17"/>
    <w:rsid w:val="13786A4C"/>
    <w:rsid w:val="13A86728"/>
    <w:rsid w:val="13FE48A8"/>
    <w:rsid w:val="14685CD5"/>
    <w:rsid w:val="14951899"/>
    <w:rsid w:val="14E15B43"/>
    <w:rsid w:val="14EC0C81"/>
    <w:rsid w:val="159B77BD"/>
    <w:rsid w:val="166D3A15"/>
    <w:rsid w:val="16EC08BE"/>
    <w:rsid w:val="170B1FA0"/>
    <w:rsid w:val="1715550F"/>
    <w:rsid w:val="18377E58"/>
    <w:rsid w:val="18723E33"/>
    <w:rsid w:val="188807D1"/>
    <w:rsid w:val="18B500B9"/>
    <w:rsid w:val="18E54604"/>
    <w:rsid w:val="1936569A"/>
    <w:rsid w:val="19393F6D"/>
    <w:rsid w:val="193F7EE2"/>
    <w:rsid w:val="1A147657"/>
    <w:rsid w:val="1A1A54AD"/>
    <w:rsid w:val="1AC002D0"/>
    <w:rsid w:val="1AEB499E"/>
    <w:rsid w:val="1B334A5C"/>
    <w:rsid w:val="1B387140"/>
    <w:rsid w:val="1BAD4890"/>
    <w:rsid w:val="1BC51AC6"/>
    <w:rsid w:val="1C74313F"/>
    <w:rsid w:val="1C9C337C"/>
    <w:rsid w:val="1CA73D65"/>
    <w:rsid w:val="1CEF37CB"/>
    <w:rsid w:val="1D3C07EA"/>
    <w:rsid w:val="1D9C03D9"/>
    <w:rsid w:val="1E6602CD"/>
    <w:rsid w:val="1E787258"/>
    <w:rsid w:val="1E807264"/>
    <w:rsid w:val="1F3A57AE"/>
    <w:rsid w:val="1F67754F"/>
    <w:rsid w:val="1F9E0A35"/>
    <w:rsid w:val="1FF82BCB"/>
    <w:rsid w:val="21C754B4"/>
    <w:rsid w:val="21F73828"/>
    <w:rsid w:val="223627F2"/>
    <w:rsid w:val="22620899"/>
    <w:rsid w:val="22981590"/>
    <w:rsid w:val="22A74D13"/>
    <w:rsid w:val="22BF6AB8"/>
    <w:rsid w:val="23826097"/>
    <w:rsid w:val="23937258"/>
    <w:rsid w:val="24EB3725"/>
    <w:rsid w:val="25075C2D"/>
    <w:rsid w:val="250C6CAD"/>
    <w:rsid w:val="25354375"/>
    <w:rsid w:val="25824DC4"/>
    <w:rsid w:val="258A000F"/>
    <w:rsid w:val="25EB22BD"/>
    <w:rsid w:val="260516A3"/>
    <w:rsid w:val="26684D8F"/>
    <w:rsid w:val="27296B57"/>
    <w:rsid w:val="273307D5"/>
    <w:rsid w:val="27827BF6"/>
    <w:rsid w:val="28254C64"/>
    <w:rsid w:val="286976B0"/>
    <w:rsid w:val="2875491D"/>
    <w:rsid w:val="28773A4B"/>
    <w:rsid w:val="28787126"/>
    <w:rsid w:val="287F752A"/>
    <w:rsid w:val="28BF6305"/>
    <w:rsid w:val="294D76E7"/>
    <w:rsid w:val="29BA2017"/>
    <w:rsid w:val="29CC4868"/>
    <w:rsid w:val="29DA2827"/>
    <w:rsid w:val="2A1C2F8C"/>
    <w:rsid w:val="2A3A32F3"/>
    <w:rsid w:val="2A3B3029"/>
    <w:rsid w:val="2A4F3653"/>
    <w:rsid w:val="2A584C16"/>
    <w:rsid w:val="2A6A5D71"/>
    <w:rsid w:val="2A901B63"/>
    <w:rsid w:val="2A902EF1"/>
    <w:rsid w:val="2B4178A1"/>
    <w:rsid w:val="2B4732D4"/>
    <w:rsid w:val="2BAC1FFA"/>
    <w:rsid w:val="2BE7539F"/>
    <w:rsid w:val="2BFDAB9B"/>
    <w:rsid w:val="2BFFC506"/>
    <w:rsid w:val="2C8D5E21"/>
    <w:rsid w:val="2C9F7876"/>
    <w:rsid w:val="2CE27D72"/>
    <w:rsid w:val="2CEC0A0C"/>
    <w:rsid w:val="2D44698D"/>
    <w:rsid w:val="2D4C3BED"/>
    <w:rsid w:val="2DB16C68"/>
    <w:rsid w:val="2DB939D5"/>
    <w:rsid w:val="2DDF2B92"/>
    <w:rsid w:val="2DEB55E6"/>
    <w:rsid w:val="2DFC3561"/>
    <w:rsid w:val="2EE50306"/>
    <w:rsid w:val="2F1D642A"/>
    <w:rsid w:val="2F3FFD99"/>
    <w:rsid w:val="2F53697E"/>
    <w:rsid w:val="2F7E37F3"/>
    <w:rsid w:val="2F96441C"/>
    <w:rsid w:val="2F98287A"/>
    <w:rsid w:val="2FA3D56E"/>
    <w:rsid w:val="2FD6596D"/>
    <w:rsid w:val="2FE04BFE"/>
    <w:rsid w:val="2FE8352D"/>
    <w:rsid w:val="305B7E4A"/>
    <w:rsid w:val="3060400E"/>
    <w:rsid w:val="308421D9"/>
    <w:rsid w:val="30D02984"/>
    <w:rsid w:val="31224023"/>
    <w:rsid w:val="315C6C44"/>
    <w:rsid w:val="31A22B9F"/>
    <w:rsid w:val="31AA2099"/>
    <w:rsid w:val="31B06FDA"/>
    <w:rsid w:val="31BFC66B"/>
    <w:rsid w:val="31CE0C63"/>
    <w:rsid w:val="328A2822"/>
    <w:rsid w:val="3298051E"/>
    <w:rsid w:val="32A97385"/>
    <w:rsid w:val="32AC4D1E"/>
    <w:rsid w:val="32BB0B79"/>
    <w:rsid w:val="32F530B7"/>
    <w:rsid w:val="33470D50"/>
    <w:rsid w:val="33EB45AA"/>
    <w:rsid w:val="340F0D6F"/>
    <w:rsid w:val="340F231D"/>
    <w:rsid w:val="342E654B"/>
    <w:rsid w:val="346102D1"/>
    <w:rsid w:val="346956D9"/>
    <w:rsid w:val="3495351D"/>
    <w:rsid w:val="34986A45"/>
    <w:rsid w:val="34C853B0"/>
    <w:rsid w:val="355221F1"/>
    <w:rsid w:val="35B573AD"/>
    <w:rsid w:val="35DAD582"/>
    <w:rsid w:val="360945A3"/>
    <w:rsid w:val="361DA59B"/>
    <w:rsid w:val="36315C01"/>
    <w:rsid w:val="365E39FE"/>
    <w:rsid w:val="372310C6"/>
    <w:rsid w:val="373B4E18"/>
    <w:rsid w:val="37516650"/>
    <w:rsid w:val="377A5BF4"/>
    <w:rsid w:val="37C0253F"/>
    <w:rsid w:val="3822046A"/>
    <w:rsid w:val="38235F70"/>
    <w:rsid w:val="382D1CDB"/>
    <w:rsid w:val="3850138F"/>
    <w:rsid w:val="38A5498B"/>
    <w:rsid w:val="38D74D99"/>
    <w:rsid w:val="391C2B80"/>
    <w:rsid w:val="39333322"/>
    <w:rsid w:val="39822C77"/>
    <w:rsid w:val="3993390F"/>
    <w:rsid w:val="3A21012D"/>
    <w:rsid w:val="3A72335F"/>
    <w:rsid w:val="3A823E69"/>
    <w:rsid w:val="3AED7DF9"/>
    <w:rsid w:val="3B2964C1"/>
    <w:rsid w:val="3BBE3E49"/>
    <w:rsid w:val="3BF905F4"/>
    <w:rsid w:val="3BFF0ADB"/>
    <w:rsid w:val="3BFFA79E"/>
    <w:rsid w:val="3C3D66B3"/>
    <w:rsid w:val="3C45270E"/>
    <w:rsid w:val="3C64087A"/>
    <w:rsid w:val="3CD80ACE"/>
    <w:rsid w:val="3E5F3D6F"/>
    <w:rsid w:val="3E9FFF1E"/>
    <w:rsid w:val="3EB33771"/>
    <w:rsid w:val="3ECB1AE8"/>
    <w:rsid w:val="3F2311C3"/>
    <w:rsid w:val="3FCF382C"/>
    <w:rsid w:val="3FEA1358"/>
    <w:rsid w:val="3FF51868"/>
    <w:rsid w:val="3FF732B2"/>
    <w:rsid w:val="40031F4C"/>
    <w:rsid w:val="4029031C"/>
    <w:rsid w:val="40753E76"/>
    <w:rsid w:val="407D05FD"/>
    <w:rsid w:val="40E1601F"/>
    <w:rsid w:val="411E0097"/>
    <w:rsid w:val="41237F80"/>
    <w:rsid w:val="413E286F"/>
    <w:rsid w:val="41671849"/>
    <w:rsid w:val="416C6A62"/>
    <w:rsid w:val="418B7468"/>
    <w:rsid w:val="41C414CE"/>
    <w:rsid w:val="41EF0592"/>
    <w:rsid w:val="41F071AA"/>
    <w:rsid w:val="42690EC3"/>
    <w:rsid w:val="42DF0EE4"/>
    <w:rsid w:val="43001104"/>
    <w:rsid w:val="4311396E"/>
    <w:rsid w:val="432533D5"/>
    <w:rsid w:val="433A53FB"/>
    <w:rsid w:val="4389590C"/>
    <w:rsid w:val="438F4187"/>
    <w:rsid w:val="439D3B09"/>
    <w:rsid w:val="44682411"/>
    <w:rsid w:val="4494045C"/>
    <w:rsid w:val="44CA1CBA"/>
    <w:rsid w:val="454E0520"/>
    <w:rsid w:val="45526F90"/>
    <w:rsid w:val="45CE6D15"/>
    <w:rsid w:val="45D25994"/>
    <w:rsid w:val="462B5FD2"/>
    <w:rsid w:val="46685829"/>
    <w:rsid w:val="46BC39B4"/>
    <w:rsid w:val="470B6CE4"/>
    <w:rsid w:val="47BF01D2"/>
    <w:rsid w:val="47E359C8"/>
    <w:rsid w:val="48037E74"/>
    <w:rsid w:val="4810008C"/>
    <w:rsid w:val="482C6423"/>
    <w:rsid w:val="48A033E4"/>
    <w:rsid w:val="48BA2A75"/>
    <w:rsid w:val="495A7497"/>
    <w:rsid w:val="4973148C"/>
    <w:rsid w:val="4B130213"/>
    <w:rsid w:val="4B3602B9"/>
    <w:rsid w:val="4BC52D19"/>
    <w:rsid w:val="4BF50097"/>
    <w:rsid w:val="4BFF70C4"/>
    <w:rsid w:val="4C721901"/>
    <w:rsid w:val="4C796381"/>
    <w:rsid w:val="4CDF4F0E"/>
    <w:rsid w:val="4D602C35"/>
    <w:rsid w:val="4D79415D"/>
    <w:rsid w:val="4D9F01ED"/>
    <w:rsid w:val="4DCA6683"/>
    <w:rsid w:val="4DD30C18"/>
    <w:rsid w:val="4DDA590F"/>
    <w:rsid w:val="4DDE6F98"/>
    <w:rsid w:val="4DE057AC"/>
    <w:rsid w:val="4DE2587A"/>
    <w:rsid w:val="4E056135"/>
    <w:rsid w:val="4E524EF4"/>
    <w:rsid w:val="4E9F698D"/>
    <w:rsid w:val="4EDD1249"/>
    <w:rsid w:val="4EE33952"/>
    <w:rsid w:val="4EFC4A75"/>
    <w:rsid w:val="4F097DF1"/>
    <w:rsid w:val="4F152D31"/>
    <w:rsid w:val="4F346694"/>
    <w:rsid w:val="4FB742C2"/>
    <w:rsid w:val="507064AE"/>
    <w:rsid w:val="51020DAE"/>
    <w:rsid w:val="513574EE"/>
    <w:rsid w:val="513804A8"/>
    <w:rsid w:val="51752D61"/>
    <w:rsid w:val="519344D7"/>
    <w:rsid w:val="51981EEB"/>
    <w:rsid w:val="519A7963"/>
    <w:rsid w:val="51A63767"/>
    <w:rsid w:val="51F608C4"/>
    <w:rsid w:val="523C0758"/>
    <w:rsid w:val="527FF664"/>
    <w:rsid w:val="52D92493"/>
    <w:rsid w:val="5384365A"/>
    <w:rsid w:val="538E7DEF"/>
    <w:rsid w:val="53C27FE7"/>
    <w:rsid w:val="54051E23"/>
    <w:rsid w:val="54936796"/>
    <w:rsid w:val="553D021E"/>
    <w:rsid w:val="557C02C2"/>
    <w:rsid w:val="55830C43"/>
    <w:rsid w:val="55A35960"/>
    <w:rsid w:val="55BC1B1C"/>
    <w:rsid w:val="55EDF227"/>
    <w:rsid w:val="56F620AD"/>
    <w:rsid w:val="5723115B"/>
    <w:rsid w:val="572B4993"/>
    <w:rsid w:val="57824D65"/>
    <w:rsid w:val="57B42CD3"/>
    <w:rsid w:val="58536049"/>
    <w:rsid w:val="58B52136"/>
    <w:rsid w:val="58EB393E"/>
    <w:rsid w:val="59330D43"/>
    <w:rsid w:val="59774A6A"/>
    <w:rsid w:val="598A7959"/>
    <w:rsid w:val="59CD4080"/>
    <w:rsid w:val="59E34AE2"/>
    <w:rsid w:val="5A192E87"/>
    <w:rsid w:val="5A6B0EDD"/>
    <w:rsid w:val="5ABF68F1"/>
    <w:rsid w:val="5AC8293E"/>
    <w:rsid w:val="5AD559EC"/>
    <w:rsid w:val="5B0611A3"/>
    <w:rsid w:val="5BBFE15C"/>
    <w:rsid w:val="5BF11CB1"/>
    <w:rsid w:val="5C4122C7"/>
    <w:rsid w:val="5C434EF1"/>
    <w:rsid w:val="5CEBF411"/>
    <w:rsid w:val="5CFEA3C0"/>
    <w:rsid w:val="5D1F6203"/>
    <w:rsid w:val="5D327FBD"/>
    <w:rsid w:val="5D6A7E6C"/>
    <w:rsid w:val="5D8F5C17"/>
    <w:rsid w:val="5DFF6416"/>
    <w:rsid w:val="5E5F7F5A"/>
    <w:rsid w:val="5EEC3974"/>
    <w:rsid w:val="5F111BB2"/>
    <w:rsid w:val="5F177702"/>
    <w:rsid w:val="5F2355E9"/>
    <w:rsid w:val="5F2D588A"/>
    <w:rsid w:val="5F59046E"/>
    <w:rsid w:val="5F6E1B14"/>
    <w:rsid w:val="5F77CEA5"/>
    <w:rsid w:val="5F871D6A"/>
    <w:rsid w:val="5F8A1E93"/>
    <w:rsid w:val="5F8E6728"/>
    <w:rsid w:val="603568CA"/>
    <w:rsid w:val="603E2D0C"/>
    <w:rsid w:val="606F2989"/>
    <w:rsid w:val="60D67BD6"/>
    <w:rsid w:val="60EE6621"/>
    <w:rsid w:val="61140F19"/>
    <w:rsid w:val="61294DCA"/>
    <w:rsid w:val="61511CCF"/>
    <w:rsid w:val="618D3F12"/>
    <w:rsid w:val="61FA6124"/>
    <w:rsid w:val="622545C1"/>
    <w:rsid w:val="62D6741D"/>
    <w:rsid w:val="638E22A1"/>
    <w:rsid w:val="640747D1"/>
    <w:rsid w:val="6419076E"/>
    <w:rsid w:val="64A45309"/>
    <w:rsid w:val="653B25E8"/>
    <w:rsid w:val="6543397F"/>
    <w:rsid w:val="65B71C4C"/>
    <w:rsid w:val="662160A4"/>
    <w:rsid w:val="662227FF"/>
    <w:rsid w:val="662A79A6"/>
    <w:rsid w:val="669B0C3E"/>
    <w:rsid w:val="66C07A0F"/>
    <w:rsid w:val="66C22C4D"/>
    <w:rsid w:val="6764212A"/>
    <w:rsid w:val="677F4653"/>
    <w:rsid w:val="68814F72"/>
    <w:rsid w:val="68DA46A7"/>
    <w:rsid w:val="68F963C8"/>
    <w:rsid w:val="69590EA9"/>
    <w:rsid w:val="69B34FD2"/>
    <w:rsid w:val="69D62315"/>
    <w:rsid w:val="69D75C58"/>
    <w:rsid w:val="6A2247BA"/>
    <w:rsid w:val="6A7D7C17"/>
    <w:rsid w:val="6AAB1A1A"/>
    <w:rsid w:val="6AB84CF1"/>
    <w:rsid w:val="6ADF7BE4"/>
    <w:rsid w:val="6AE15AA7"/>
    <w:rsid w:val="6AF615D9"/>
    <w:rsid w:val="6B4E448C"/>
    <w:rsid w:val="6B7D52C0"/>
    <w:rsid w:val="6BAE2EBE"/>
    <w:rsid w:val="6BF37BDC"/>
    <w:rsid w:val="6C593EC1"/>
    <w:rsid w:val="6C683A9E"/>
    <w:rsid w:val="6CA142B4"/>
    <w:rsid w:val="6CFEDD94"/>
    <w:rsid w:val="6D4B418E"/>
    <w:rsid w:val="6D735651"/>
    <w:rsid w:val="6D7C7E63"/>
    <w:rsid w:val="6DB30BBC"/>
    <w:rsid w:val="6DFFBDC1"/>
    <w:rsid w:val="6E06774B"/>
    <w:rsid w:val="6E4432CE"/>
    <w:rsid w:val="6E737FA6"/>
    <w:rsid w:val="6EA95E6A"/>
    <w:rsid w:val="6EEF61B6"/>
    <w:rsid w:val="6F150A4B"/>
    <w:rsid w:val="6FBFFA9C"/>
    <w:rsid w:val="6FE7D1D4"/>
    <w:rsid w:val="6FFFCA3C"/>
    <w:rsid w:val="70A03618"/>
    <w:rsid w:val="716C960E"/>
    <w:rsid w:val="71E42579"/>
    <w:rsid w:val="721764E2"/>
    <w:rsid w:val="725D1BA4"/>
    <w:rsid w:val="72AB0235"/>
    <w:rsid w:val="72EF06F1"/>
    <w:rsid w:val="734ACDD1"/>
    <w:rsid w:val="735F2EF4"/>
    <w:rsid w:val="73FCD5AE"/>
    <w:rsid w:val="74435EB6"/>
    <w:rsid w:val="74D814CD"/>
    <w:rsid w:val="74E948EA"/>
    <w:rsid w:val="752761AB"/>
    <w:rsid w:val="755C4612"/>
    <w:rsid w:val="75FF7FD1"/>
    <w:rsid w:val="75FFA3DC"/>
    <w:rsid w:val="761B245E"/>
    <w:rsid w:val="7674495D"/>
    <w:rsid w:val="76F7AD98"/>
    <w:rsid w:val="77268B5C"/>
    <w:rsid w:val="772AA967"/>
    <w:rsid w:val="774B487B"/>
    <w:rsid w:val="77BF5285"/>
    <w:rsid w:val="77FB4CBA"/>
    <w:rsid w:val="77FF7867"/>
    <w:rsid w:val="780EBDEB"/>
    <w:rsid w:val="783A393F"/>
    <w:rsid w:val="79B57508"/>
    <w:rsid w:val="79B6169C"/>
    <w:rsid w:val="79E007EB"/>
    <w:rsid w:val="79EA9528"/>
    <w:rsid w:val="79FE117E"/>
    <w:rsid w:val="7A3106A6"/>
    <w:rsid w:val="7A375C02"/>
    <w:rsid w:val="7A7C0C15"/>
    <w:rsid w:val="7A92036E"/>
    <w:rsid w:val="7AB55DDE"/>
    <w:rsid w:val="7AFE34A5"/>
    <w:rsid w:val="7B073943"/>
    <w:rsid w:val="7B4022F6"/>
    <w:rsid w:val="7B7C30C9"/>
    <w:rsid w:val="7BA001F0"/>
    <w:rsid w:val="7BCF5A7A"/>
    <w:rsid w:val="7BFE1FC9"/>
    <w:rsid w:val="7C263461"/>
    <w:rsid w:val="7C4A2954"/>
    <w:rsid w:val="7C72606A"/>
    <w:rsid w:val="7CFD1724"/>
    <w:rsid w:val="7D0C9B98"/>
    <w:rsid w:val="7D2C338C"/>
    <w:rsid w:val="7D4727DE"/>
    <w:rsid w:val="7DBF195C"/>
    <w:rsid w:val="7DC0145A"/>
    <w:rsid w:val="7DC50927"/>
    <w:rsid w:val="7DDDC69F"/>
    <w:rsid w:val="7DFAC1B9"/>
    <w:rsid w:val="7E473124"/>
    <w:rsid w:val="7E4822E7"/>
    <w:rsid w:val="7E744A27"/>
    <w:rsid w:val="7EA76A7C"/>
    <w:rsid w:val="7EDAFF5C"/>
    <w:rsid w:val="7EDF6CEC"/>
    <w:rsid w:val="7EE146F5"/>
    <w:rsid w:val="7EFA521C"/>
    <w:rsid w:val="7F07C845"/>
    <w:rsid w:val="7F36CD20"/>
    <w:rsid w:val="7FF3550C"/>
    <w:rsid w:val="7FF78A22"/>
    <w:rsid w:val="7FFFA3E9"/>
    <w:rsid w:val="8B936500"/>
    <w:rsid w:val="9DDF67C1"/>
    <w:rsid w:val="A5BF39F3"/>
    <w:rsid w:val="ABFD19E8"/>
    <w:rsid w:val="ABFE8751"/>
    <w:rsid w:val="AF6FC1D5"/>
    <w:rsid w:val="AF774B73"/>
    <w:rsid w:val="B47E2A84"/>
    <w:rsid w:val="B7768099"/>
    <w:rsid w:val="B8B6A2A2"/>
    <w:rsid w:val="BA7B23C6"/>
    <w:rsid w:val="BABE4DC7"/>
    <w:rsid w:val="BBEF9094"/>
    <w:rsid w:val="BBFFACCF"/>
    <w:rsid w:val="BBFFF8D1"/>
    <w:rsid w:val="BCEF53BA"/>
    <w:rsid w:val="BDDDFBE0"/>
    <w:rsid w:val="BF33CF2C"/>
    <w:rsid w:val="BF5ECCE1"/>
    <w:rsid w:val="BF7FC068"/>
    <w:rsid w:val="BFFC2AD7"/>
    <w:rsid w:val="C7BF5E76"/>
    <w:rsid w:val="CDD5854F"/>
    <w:rsid w:val="CEFA8042"/>
    <w:rsid w:val="CFCB833A"/>
    <w:rsid w:val="CFF7FFB7"/>
    <w:rsid w:val="CFFE869A"/>
    <w:rsid w:val="D1D35172"/>
    <w:rsid w:val="D2EFC114"/>
    <w:rsid w:val="D3EDA09E"/>
    <w:rsid w:val="D73FE5F7"/>
    <w:rsid w:val="D7BDA1DF"/>
    <w:rsid w:val="D7DD0222"/>
    <w:rsid w:val="DEF4D0FF"/>
    <w:rsid w:val="DF3E0620"/>
    <w:rsid w:val="E4E757A2"/>
    <w:rsid w:val="E73A8088"/>
    <w:rsid w:val="E77944A0"/>
    <w:rsid w:val="E9F362B9"/>
    <w:rsid w:val="EAACFCA0"/>
    <w:rsid w:val="ED7D7C0B"/>
    <w:rsid w:val="EE7F2350"/>
    <w:rsid w:val="EFF71101"/>
    <w:rsid w:val="F3CF1319"/>
    <w:rsid w:val="F73F56F7"/>
    <w:rsid w:val="F7FFE73A"/>
    <w:rsid w:val="F8E788F2"/>
    <w:rsid w:val="FB84213B"/>
    <w:rsid w:val="FBDB7433"/>
    <w:rsid w:val="FBE79476"/>
    <w:rsid w:val="FD5B0EE7"/>
    <w:rsid w:val="FDD6AFBF"/>
    <w:rsid w:val="FDFF8E9B"/>
    <w:rsid w:val="FDFFAD85"/>
    <w:rsid w:val="FE782AE3"/>
    <w:rsid w:val="FEF78E00"/>
    <w:rsid w:val="FEFB2FA0"/>
    <w:rsid w:val="FEFC73A5"/>
    <w:rsid w:val="FEFF0552"/>
    <w:rsid w:val="FF3764D0"/>
    <w:rsid w:val="FF7E9093"/>
    <w:rsid w:val="FF7F15F6"/>
    <w:rsid w:val="FFAF0944"/>
    <w:rsid w:val="FFBD292E"/>
    <w:rsid w:val="FFE71A51"/>
    <w:rsid w:val="FFEC76E8"/>
    <w:rsid w:val="FFF999A4"/>
    <w:rsid w:val="FFFBAA40"/>
    <w:rsid w:val="FFFF4D9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kern w:val="2"/>
      <w:sz w:val="32"/>
      <w:szCs w:val="3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spacing w:line="360" w:lineRule="auto"/>
      <w:ind w:left="640" w:leftChars="200"/>
      <w:outlineLvl w:val="1"/>
    </w:pPr>
    <w:rPr>
      <w:rFonts w:ascii="Arial" w:hAnsi="Arial" w:eastAsia="楷体"/>
    </w:rPr>
  </w:style>
  <w:style w:type="character" w:default="1" w:styleId="27">
    <w:name w:val="Default Paragraph Font"/>
    <w:semiHidden/>
    <w:uiPriority w:val="0"/>
  </w:style>
  <w:style w:type="table" w:default="1" w:styleId="25">
    <w:name w:val="Normal Table"/>
    <w:semiHidden/>
    <w:uiPriority w:val="0"/>
    <w:tblPr>
      <w:tblStyle w:val="25"/>
      <w:tblCellMar>
        <w:top w:w="0" w:type="dxa"/>
        <w:left w:w="108" w:type="dxa"/>
        <w:bottom w:w="0" w:type="dxa"/>
        <w:right w:w="108" w:type="dxa"/>
      </w:tblCellMar>
    </w:tblPr>
  </w:style>
  <w:style w:type="paragraph" w:styleId="2">
    <w:name w:val="index 9"/>
    <w:basedOn w:val="1"/>
    <w:next w:val="1"/>
    <w:qFormat/>
    <w:uiPriority w:val="0"/>
    <w:pPr>
      <w:ind w:left="3360"/>
      <w:jc w:val="left"/>
    </w:pPr>
  </w:style>
  <w:style w:type="paragraph" w:styleId="5">
    <w:name w:val="Normal Indent"/>
    <w:basedOn w:val="1"/>
    <w:uiPriority w:val="0"/>
    <w:pPr>
      <w:ind w:firstLine="420" w:firstLineChars="200"/>
    </w:pPr>
  </w:style>
  <w:style w:type="paragraph" w:styleId="6">
    <w:name w:val="Document Map"/>
    <w:basedOn w:val="1"/>
    <w:semiHidden/>
    <w:uiPriority w:val="0"/>
    <w:pPr>
      <w:shd w:val="clear" w:color="auto" w:fill="000080"/>
    </w:pPr>
  </w:style>
  <w:style w:type="paragraph" w:styleId="7">
    <w:name w:val="toa heading"/>
    <w:basedOn w:val="1"/>
    <w:next w:val="1"/>
    <w:unhideWhenUsed/>
    <w:qFormat/>
    <w:uiPriority w:val="99"/>
    <w:pPr>
      <w:spacing w:before="120"/>
    </w:pPr>
    <w:rPr>
      <w:rFonts w:ascii="Arial" w:hAnsi="Arial"/>
      <w:sz w:val="24"/>
    </w:rPr>
  </w:style>
  <w:style w:type="paragraph" w:styleId="8">
    <w:name w:val="Body Text"/>
    <w:basedOn w:val="1"/>
    <w:next w:val="7"/>
    <w:qFormat/>
    <w:uiPriority w:val="1"/>
    <w:rPr>
      <w:sz w:val="32"/>
      <w:szCs w:val="32"/>
    </w:rPr>
  </w:style>
  <w:style w:type="paragraph" w:styleId="9">
    <w:name w:val="Body Text Indent"/>
    <w:basedOn w:val="1"/>
    <w:uiPriority w:val="0"/>
    <w:pPr>
      <w:spacing w:after="120"/>
      <w:ind w:left="420" w:leftChars="200"/>
    </w:pPr>
  </w:style>
  <w:style w:type="paragraph" w:styleId="10">
    <w:name w:val="Plain Text"/>
    <w:basedOn w:val="1"/>
    <w:link w:val="31"/>
    <w:uiPriority w:val="0"/>
    <w:rPr>
      <w:rFonts w:ascii="宋体" w:hAnsi="Courier New" w:cs="Courier New"/>
      <w:szCs w:val="21"/>
    </w:rPr>
  </w:style>
  <w:style w:type="paragraph" w:styleId="11">
    <w:name w:val="Date"/>
    <w:basedOn w:val="1"/>
    <w:next w:val="1"/>
    <w:uiPriority w:val="0"/>
    <w:pPr>
      <w:ind w:left="100" w:leftChars="2500"/>
    </w:pPr>
  </w:style>
  <w:style w:type="paragraph" w:styleId="12">
    <w:name w:val="Body Text Indent 2"/>
    <w:basedOn w:val="1"/>
    <w:uiPriority w:val="0"/>
    <w:pPr>
      <w:spacing w:after="120" w:line="480" w:lineRule="auto"/>
      <w:ind w:left="420" w:leftChars="200"/>
    </w:pPr>
  </w:style>
  <w:style w:type="paragraph" w:styleId="13">
    <w:name w:val="Balloon Text"/>
    <w:basedOn w:val="1"/>
    <w:semiHidden/>
    <w:uiPriority w:val="0"/>
    <w:rPr>
      <w:sz w:val="18"/>
      <w:szCs w:val="18"/>
    </w:rPr>
  </w:style>
  <w:style w:type="paragraph" w:styleId="14">
    <w:name w:val="footer"/>
    <w:basedOn w:val="1"/>
    <w:uiPriority w:val="0"/>
    <w:pPr>
      <w:tabs>
        <w:tab w:val="center" w:pos="4153"/>
        <w:tab w:val="right" w:pos="8306"/>
      </w:tabs>
      <w:snapToGrid w:val="0"/>
      <w:jc w:val="left"/>
    </w:pPr>
    <w:rPr>
      <w:sz w:val="18"/>
    </w:rPr>
  </w:style>
  <w:style w:type="paragraph" w:styleId="15">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semiHidden/>
    <w:qFormat/>
    <w:uiPriority w:val="0"/>
  </w:style>
  <w:style w:type="paragraph" w:styleId="17">
    <w:name w:val="footnote text"/>
    <w:basedOn w:val="1"/>
    <w:qFormat/>
    <w:uiPriority w:val="0"/>
    <w:pPr>
      <w:snapToGrid w:val="0"/>
      <w:jc w:val="left"/>
    </w:pPr>
    <w:rPr>
      <w:sz w:val="18"/>
      <w:szCs w:val="18"/>
    </w:rPr>
  </w:style>
  <w:style w:type="paragraph" w:styleId="18">
    <w:name w:val="Body Text Indent 3"/>
    <w:basedOn w:val="1"/>
    <w:link w:val="32"/>
    <w:uiPriority w:val="0"/>
    <w:pPr>
      <w:spacing w:after="120"/>
      <w:ind w:left="420" w:leftChars="200"/>
    </w:pPr>
    <w:rPr>
      <w:rFonts w:eastAsia="宋体"/>
      <w:sz w:val="16"/>
      <w:szCs w:val="16"/>
    </w:rPr>
  </w:style>
  <w:style w:type="paragraph" w:styleId="19">
    <w:name w:val="toc 2"/>
    <w:basedOn w:val="1"/>
    <w:next w:val="1"/>
    <w:unhideWhenUsed/>
    <w:qFormat/>
    <w:uiPriority w:val="39"/>
    <w:pPr>
      <w:ind w:left="420" w:leftChars="200"/>
    </w:pPr>
  </w:style>
  <w:style w:type="paragraph" w:styleId="20">
    <w:name w:val="Body Text 2"/>
    <w:basedOn w:val="1"/>
    <w:uiPriority w:val="0"/>
    <w:pPr>
      <w:autoSpaceDE w:val="0"/>
      <w:autoSpaceDN w:val="0"/>
    </w:pPr>
    <w:rPr>
      <w:color w:val="000000"/>
      <w:kern w:val="0"/>
      <w:szCs w:val="20"/>
    </w:rPr>
  </w:style>
  <w:style w:type="paragraph" w:styleId="21">
    <w:name w:val="HTML Preformatted"/>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eastAsia="宋体" w:cs="Arial"/>
      <w:kern w:val="0"/>
      <w:sz w:val="24"/>
      <w:szCs w:val="24"/>
    </w:rPr>
  </w:style>
  <w:style w:type="paragraph" w:styleId="22">
    <w:name w:val="Normal (Web)"/>
    <w:basedOn w:val="1"/>
    <w:uiPriority w:val="0"/>
    <w:pPr>
      <w:widowControl/>
      <w:spacing w:before="100" w:beforeAutospacing="1" w:after="100" w:afterAutospacing="1"/>
      <w:jc w:val="left"/>
    </w:pPr>
    <w:rPr>
      <w:rFonts w:ascii="宋体" w:hAnsi="宋体" w:eastAsia="宋体" w:cs="宋体"/>
      <w:kern w:val="0"/>
      <w:sz w:val="24"/>
      <w:szCs w:val="24"/>
    </w:rPr>
  </w:style>
  <w:style w:type="paragraph" w:styleId="23">
    <w:name w:val="Body Text First Indent"/>
    <w:basedOn w:val="8"/>
    <w:qFormat/>
    <w:uiPriority w:val="0"/>
    <w:pPr>
      <w:ind w:firstLine="420" w:firstLineChars="100"/>
    </w:pPr>
  </w:style>
  <w:style w:type="paragraph" w:styleId="24">
    <w:name w:val="Body Text First Indent 2"/>
    <w:basedOn w:val="1"/>
    <w:qFormat/>
    <w:uiPriority w:val="0"/>
    <w:pPr>
      <w:ind w:firstLine="420" w:firstLineChars="200"/>
    </w:pPr>
    <w:rPr>
      <w:rFonts w:ascii="Calibri" w:hAnsi="Calibri" w:eastAsia="宋体"/>
      <w:sz w:val="21"/>
      <w:szCs w:val="24"/>
    </w:rPr>
  </w:style>
  <w:style w:type="table" w:styleId="26">
    <w:name w:val="Table Grid"/>
    <w:basedOn w:val="25"/>
    <w:uiPriority w:val="0"/>
    <w:pPr>
      <w:widowControl w:val="0"/>
      <w:jc w:val="both"/>
    </w:pPr>
    <w:rPr>
      <w:rFonts w:eastAsia="仿宋_GB2312"/>
      <w:sz w:val="28"/>
      <w:szCs w:val="28"/>
    </w:rPr>
    <w:tblPr>
      <w:tblStyle w:val="25"/>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Strong"/>
    <w:qFormat/>
    <w:uiPriority w:val="0"/>
    <w:rPr>
      <w:b/>
      <w:bCs/>
    </w:rPr>
  </w:style>
  <w:style w:type="character" w:styleId="29">
    <w:name w:val="page number"/>
    <w:basedOn w:val="27"/>
    <w:uiPriority w:val="0"/>
  </w:style>
  <w:style w:type="character" w:styleId="30">
    <w:name w:val="Hyperlink"/>
    <w:basedOn w:val="27"/>
    <w:uiPriority w:val="0"/>
    <w:rPr>
      <w:color w:val="000000"/>
      <w:sz w:val="18"/>
      <w:szCs w:val="18"/>
      <w:u w:val="none"/>
    </w:rPr>
  </w:style>
  <w:style w:type="character" w:customStyle="1" w:styleId="31">
    <w:name w:val="纯文本 Char"/>
    <w:link w:val="10"/>
    <w:semiHidden/>
    <w:locked/>
    <w:uiPriority w:val="0"/>
    <w:rPr>
      <w:rFonts w:ascii="宋体" w:hAnsi="Courier New" w:eastAsia="仿宋_GB2312" w:cs="Courier New"/>
      <w:kern w:val="2"/>
      <w:sz w:val="32"/>
      <w:szCs w:val="21"/>
      <w:lang w:val="en-US" w:eastAsia="zh-CN" w:bidi="ar-SA"/>
    </w:rPr>
  </w:style>
  <w:style w:type="character" w:customStyle="1" w:styleId="32">
    <w:name w:val="正文文本缩进 3 Char"/>
    <w:link w:val="18"/>
    <w:uiPriority w:val="0"/>
    <w:rPr>
      <w:rFonts w:eastAsia="宋体"/>
      <w:kern w:val="2"/>
      <w:sz w:val="16"/>
      <w:szCs w:val="16"/>
      <w:lang w:val="en-US" w:eastAsia="zh-CN" w:bidi="ar-SA"/>
    </w:rPr>
  </w:style>
  <w:style w:type="character" w:customStyle="1" w:styleId="33">
    <w:name w:val="fontstyle51"/>
    <w:basedOn w:val="27"/>
    <w:qFormat/>
    <w:uiPriority w:val="0"/>
    <w:rPr>
      <w:rFonts w:hint="default" w:ascii="楷体_GB2312" w:hAnsi="楷体_GB2312"/>
      <w:color w:val="000000"/>
      <w:sz w:val="32"/>
      <w:szCs w:val="32"/>
    </w:rPr>
  </w:style>
  <w:style w:type="character" w:customStyle="1" w:styleId="34">
    <w:name w:val="fontstyle31"/>
    <w:basedOn w:val="27"/>
    <w:qFormat/>
    <w:uiPriority w:val="0"/>
    <w:rPr>
      <w:rFonts w:hint="default" w:ascii="TimesNewRomanPSMT" w:hAnsi="TimesNewRomanPSMT"/>
      <w:color w:val="000000"/>
      <w:sz w:val="32"/>
      <w:szCs w:val="32"/>
    </w:rPr>
  </w:style>
  <w:style w:type="character" w:customStyle="1" w:styleId="35">
    <w:name w:val="font51"/>
    <w:basedOn w:val="27"/>
    <w:uiPriority w:val="0"/>
    <w:rPr>
      <w:rFonts w:hint="default" w:ascii="Times New Roman" w:hAnsi="Times New Roman" w:cs="Times New Roman"/>
      <w:color w:val="000000"/>
      <w:sz w:val="28"/>
      <w:szCs w:val="28"/>
      <w:u w:val="none"/>
    </w:rPr>
  </w:style>
  <w:style w:type="character" w:customStyle="1" w:styleId="36">
    <w:name w:val="fontstyle21"/>
    <w:basedOn w:val="27"/>
    <w:qFormat/>
    <w:uiPriority w:val="0"/>
    <w:rPr>
      <w:rFonts w:hint="default" w:ascii="仿宋_GB2312" w:hAnsi="仿宋_GB2312"/>
      <w:color w:val="000000"/>
      <w:sz w:val="32"/>
      <w:szCs w:val="32"/>
    </w:rPr>
  </w:style>
  <w:style w:type="character" w:customStyle="1" w:styleId="37">
    <w:name w:val="font41"/>
    <w:basedOn w:val="27"/>
    <w:uiPriority w:val="0"/>
    <w:rPr>
      <w:rFonts w:hint="eastAsia" w:ascii="黑体" w:hAnsi="宋体" w:eastAsia="黑体" w:cs="黑体"/>
      <w:color w:val="000000"/>
      <w:sz w:val="28"/>
      <w:szCs w:val="28"/>
      <w:u w:val="none"/>
    </w:rPr>
  </w:style>
  <w:style w:type="character" w:customStyle="1" w:styleId="38">
    <w:name w:val=" Char Char"/>
    <w:uiPriority w:val="0"/>
    <w:rPr>
      <w:kern w:val="2"/>
      <w:sz w:val="16"/>
      <w:szCs w:val="16"/>
    </w:rPr>
  </w:style>
  <w:style w:type="paragraph" w:customStyle="1" w:styleId="39">
    <w:name w:val=" Char"/>
    <w:basedOn w:val="6"/>
    <w:uiPriority w:val="0"/>
    <w:pPr>
      <w:spacing w:line="360" w:lineRule="auto"/>
      <w:ind w:firstLine="480" w:firstLineChars="200"/>
    </w:pPr>
    <w:rPr>
      <w:rFonts w:eastAsia="仿宋_GB2312"/>
      <w:sz w:val="32"/>
      <w:szCs w:val="32"/>
    </w:rPr>
  </w:style>
  <w:style w:type="paragraph" w:customStyle="1" w:styleId="40">
    <w:name w:val=" Char Char Char Char Char Char Char Char Char Char"/>
    <w:basedOn w:val="1"/>
    <w:uiPriority w:val="0"/>
    <w:rPr>
      <w:rFonts w:ascii="宋体" w:hAnsi="宋体"/>
      <w:kern w:val="0"/>
      <w:sz w:val="24"/>
    </w:rPr>
  </w:style>
  <w:style w:type="paragraph" w:customStyle="1" w:styleId="41">
    <w:name w:val="Char Char Char Char Char Char Char Char"/>
    <w:basedOn w:val="1"/>
    <w:semiHidden/>
    <w:uiPriority w:val="0"/>
    <w:rPr>
      <w:sz w:val="32"/>
      <w:szCs w:val="21"/>
    </w:rPr>
  </w:style>
  <w:style w:type="paragraph" w:customStyle="1" w:styleId="42">
    <w:name w:val="p18"/>
    <w:basedOn w:val="1"/>
    <w:uiPriority w:val="0"/>
    <w:pPr>
      <w:widowControl/>
    </w:pPr>
    <w:rPr>
      <w:rFonts w:eastAsia="宋体"/>
      <w:kern w:val="0"/>
      <w:sz w:val="21"/>
      <w:szCs w:val="21"/>
    </w:rPr>
  </w:style>
  <w:style w:type="paragraph" w:customStyle="1" w:styleId="43">
    <w:name w:val="p19"/>
    <w:uiPriority w:val="0"/>
    <w:rPr>
      <w:szCs w:val="21"/>
      <w:lang w:val="en-US" w:eastAsia="zh-CN" w:bidi="ar-SA"/>
    </w:rPr>
  </w:style>
  <w:style w:type="paragraph" w:customStyle="1" w:styleId="44">
    <w:name w:val="p0"/>
    <w:basedOn w:val="1"/>
    <w:uiPriority w:val="0"/>
    <w:pPr>
      <w:widowControl/>
    </w:pPr>
    <w:rPr>
      <w:rFonts w:eastAsia="宋体"/>
      <w:kern w:val="0"/>
      <w:sz w:val="21"/>
      <w:szCs w:val="21"/>
    </w:rPr>
  </w:style>
  <w:style w:type="paragraph" w:customStyle="1" w:styleId="45">
    <w:name w:val="Char"/>
    <w:basedOn w:val="1"/>
    <w:semiHidden/>
    <w:uiPriority w:val="0"/>
    <w:rPr>
      <w:sz w:val="21"/>
      <w:szCs w:val="21"/>
    </w:rPr>
  </w:style>
  <w:style w:type="paragraph" w:customStyle="1" w:styleId="46">
    <w:name w:val="大题目"/>
    <w:basedOn w:val="1"/>
    <w:uiPriority w:val="0"/>
    <w:pPr>
      <w:spacing w:line="0" w:lineRule="atLeast"/>
      <w:jc w:val="center"/>
    </w:pPr>
    <w:rPr>
      <w:rFonts w:hint="eastAsia" w:ascii="宋体" w:hAnsi="宋体" w:eastAsia="文星简小标宋"/>
      <w:sz w:val="44"/>
      <w:szCs w:val="20"/>
    </w:rPr>
  </w:style>
  <w:style w:type="paragraph" w:customStyle="1" w:styleId="47">
    <w:name w:val="Char1"/>
    <w:basedOn w:val="1"/>
    <w:uiPriority w:val="0"/>
    <w:pPr>
      <w:spacing w:before="100" w:beforeAutospacing="1" w:after="100" w:afterAutospacing="1"/>
    </w:pPr>
    <w:rPr>
      <w:rFonts w:ascii="仿宋_GB2312"/>
      <w:b/>
    </w:rPr>
  </w:style>
  <w:style w:type="paragraph" w:customStyle="1" w:styleId="48">
    <w:name w:val="_Style 3"/>
    <w:basedOn w:val="1"/>
    <w:uiPriority w:val="0"/>
    <w:pPr>
      <w:spacing w:line="600" w:lineRule="exact"/>
    </w:pPr>
    <w:rPr>
      <w:sz w:val="21"/>
      <w:szCs w:val="20"/>
    </w:rPr>
  </w:style>
  <w:style w:type="paragraph" w:customStyle="1" w:styleId="49">
    <w:name w:val="样式11"/>
    <w:basedOn w:val="50"/>
    <w:qFormat/>
    <w:uiPriority w:val="99"/>
    <w:pPr>
      <w:spacing w:beforeLines="0" w:afterLines="0" w:line="560" w:lineRule="exact"/>
      <w:ind w:left="0" w:leftChars="0" w:firstLine="640" w:firstLineChars="200"/>
      <w:jc w:val="both"/>
      <w:outlineLvl w:val="2"/>
    </w:pPr>
    <w:rPr>
      <w:rFonts w:ascii="仿宋_GB2312" w:hAnsi="Times New Roman" w:eastAsia="仿宋_GB2312"/>
      <w:b w:val="0"/>
    </w:rPr>
  </w:style>
  <w:style w:type="paragraph" w:customStyle="1" w:styleId="50">
    <w:name w:val="样式2"/>
    <w:basedOn w:val="1"/>
    <w:qFormat/>
    <w:uiPriority w:val="99"/>
    <w:pPr>
      <w:spacing w:beforeLines="100" w:afterLines="50" w:line="480" w:lineRule="auto"/>
      <w:ind w:left="424" w:leftChars="202"/>
      <w:jc w:val="left"/>
      <w:outlineLvl w:val="1"/>
    </w:pPr>
    <w:rPr>
      <w:rFonts w:ascii="楷体_GB2312" w:hAnsi="宋体" w:eastAsia="楷体_GB2312"/>
      <w:b/>
      <w:sz w:val="32"/>
      <w:szCs w:val="32"/>
    </w:rPr>
  </w:style>
  <w:style w:type="character" w:customStyle="1" w:styleId="51">
    <w:name w:val="NormalCharacter"/>
    <w:semiHidden/>
    <w:qFormat/>
    <w:uiPriority w:val="0"/>
  </w:style>
  <w:style w:type="paragraph" w:customStyle="1" w:styleId="52">
    <w:name w:val="Normal Indent1"/>
    <w:basedOn w:val="1"/>
    <w:qFormat/>
    <w:uiPriority w:val="0"/>
    <w:pPr>
      <w:ind w:firstLine="420" w:firstLineChars="200"/>
    </w:pPr>
    <w:rPr>
      <w:rFonts w:ascii="Calibri" w:hAnsi="Calibri" w:eastAsia="宋体"/>
      <w:kern w:val="2"/>
      <w:sz w:val="21"/>
      <w:szCs w:val="24"/>
    </w:rPr>
  </w:style>
  <w:style w:type="paragraph" w:customStyle="1" w:styleId="53">
    <w:name w:val="表格"/>
    <w:basedOn w:val="1"/>
    <w:qFormat/>
    <w:uiPriority w:val="0"/>
    <w:pPr>
      <w:jc w:val="center"/>
    </w:pPr>
    <w:rPr>
      <w:rFonts w:eastAsia="仿宋_GB2312"/>
      <w:szCs w:val="24"/>
    </w:rPr>
  </w:style>
  <w:style w:type="paragraph" w:customStyle="1" w:styleId="54">
    <w:name w:val="样式 标题 1 + 方正小标宋简体 非加粗 黑色"/>
    <w:basedOn w:val="3"/>
    <w:qFormat/>
    <w:uiPriority w:val="0"/>
    <w:pPr>
      <w:snapToGrid w:val="0"/>
      <w:spacing w:before="0" w:after="0" w:line="240" w:lineRule="auto"/>
      <w:jc w:val="center"/>
    </w:pPr>
    <w:rPr>
      <w:rFonts w:ascii="方正小标宋简体" w:hAnsi="方正小标宋简体" w:eastAsia="方正小标宋简体"/>
      <w:b w:val="0"/>
      <w:bCs w:val="0"/>
      <w:color w:val="000000"/>
    </w:rPr>
  </w:style>
  <w:style w:type="paragraph" w:customStyle="1" w:styleId="55">
    <w:name w:val="Body text|1"/>
    <w:basedOn w:val="1"/>
    <w:qFormat/>
    <w:uiPriority w:val="0"/>
    <w:pPr>
      <w:spacing w:line="439" w:lineRule="auto"/>
      <w:ind w:firstLine="400"/>
    </w:pPr>
    <w:rPr>
      <w:rFonts w:ascii="宋体" w:hAnsi="宋体" w:cs="宋体"/>
      <w:sz w:val="20"/>
      <w:lang w:val="zh-CN" w:bidi="zh-C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32</Pages>
  <Words>11823</Words>
  <Characters>13166</Characters>
  <Lines>8</Lines>
  <Paragraphs>2</Paragraphs>
  <TotalTime>330</TotalTime>
  <ScaleCrop>false</ScaleCrop>
  <LinksUpToDate>false</LinksUpToDate>
  <CharactersWithSpaces>13527</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2021-03-06T00:26:00Z</dcterms:created>
  <dc:creator>Administrator</dc:creator>
  <cp:lastModifiedBy>小南</cp:lastModifiedBy>
  <cp:lastPrinted>2022-07-13T09:32:42Z</cp:lastPrinted>
  <dcterms:modified xsi:type="dcterms:W3CDTF">2022-10-18T10:20:01Z</dcterms:modified>
  <dc:title>威海经济技术开发区管理委员会文件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B79BD76DA0AD462DA05E36C563236473</vt:lpwstr>
  </property>
</Properties>
</file>